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44"/>
        <w:gridCol w:w="6916"/>
      </w:tblGrid>
      <w:tr w:rsidR="002A00AE" w:rsidTr="00A838D5">
        <w:tc>
          <w:tcPr>
            <w:tcW w:w="2448" w:type="dxa"/>
          </w:tcPr>
          <w:p w:rsidR="002A00AE" w:rsidRDefault="002A00AE" w:rsidP="002A00AE">
            <w:pPr>
              <w:rPr>
                <w:rFonts w:cstheme="minorHAnsi"/>
                <w:b/>
                <w:color w:val="000000" w:themeColor="text1"/>
                <w:sz w:val="24"/>
                <w:szCs w:val="24"/>
              </w:rPr>
            </w:pPr>
            <w:r w:rsidRPr="002A00AE">
              <w:rPr>
                <w:rFonts w:cstheme="minorHAnsi"/>
                <w:b/>
                <w:noProof/>
                <w:color w:val="000000" w:themeColor="text1"/>
                <w:sz w:val="24"/>
                <w:szCs w:val="24"/>
              </w:rPr>
              <w:drawing>
                <wp:inline distT="0" distB="0" distL="0" distR="0" wp14:anchorId="4E4F9162" wp14:editId="5D89311F">
                  <wp:extent cx="1285875" cy="1071174"/>
                  <wp:effectExtent l="0" t="0" r="0" b="0"/>
                  <wp:docPr id="14" name="Picture 2" descr="W:\USERS\NVandehey\NEWSC\NEWSC-spelled out-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W:\USERS\NVandehey\NEWSC\NEWSC-spelled out-color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7661" cy="1072661"/>
                          </a:xfrm>
                          <a:prstGeom prst="rect">
                            <a:avLst/>
                          </a:prstGeom>
                          <a:noFill/>
                          <a:extLst/>
                        </pic:spPr>
                      </pic:pic>
                    </a:graphicData>
                  </a:graphic>
                </wp:inline>
              </w:drawing>
            </w:r>
          </w:p>
        </w:tc>
        <w:tc>
          <w:tcPr>
            <w:tcW w:w="7020" w:type="dxa"/>
          </w:tcPr>
          <w:p w:rsidR="002A00AE" w:rsidRPr="002A00AE" w:rsidRDefault="002A00AE" w:rsidP="002A00AE">
            <w:pPr>
              <w:jc w:val="right"/>
              <w:rPr>
                <w:rFonts w:cstheme="minorHAnsi"/>
                <w:b/>
                <w:sz w:val="28"/>
                <w:szCs w:val="28"/>
              </w:rPr>
            </w:pPr>
            <w:r w:rsidRPr="002A00AE">
              <w:rPr>
                <w:rFonts w:cstheme="minorHAnsi"/>
                <w:b/>
                <w:color w:val="000000" w:themeColor="text1"/>
                <w:sz w:val="28"/>
                <w:szCs w:val="28"/>
              </w:rPr>
              <w:t>Comments</w:t>
            </w:r>
            <w:r w:rsidR="00A838D5">
              <w:rPr>
                <w:rFonts w:cstheme="minorHAnsi"/>
                <w:b/>
                <w:color w:val="000000" w:themeColor="text1"/>
                <w:sz w:val="28"/>
                <w:szCs w:val="28"/>
              </w:rPr>
              <w:t xml:space="preserve"> to WDNR</w:t>
            </w:r>
          </w:p>
          <w:p w:rsidR="002A00AE" w:rsidRPr="002A00AE" w:rsidRDefault="000A1FC7" w:rsidP="002A00AE">
            <w:pPr>
              <w:jc w:val="right"/>
              <w:rPr>
                <w:rFonts w:cstheme="minorHAnsi"/>
                <w:b/>
                <w:color w:val="000000" w:themeColor="text1"/>
                <w:sz w:val="28"/>
                <w:szCs w:val="28"/>
              </w:rPr>
            </w:pPr>
            <w:r>
              <w:rPr>
                <w:rFonts w:cstheme="minorHAnsi"/>
                <w:b/>
                <w:sz w:val="28"/>
                <w:szCs w:val="28"/>
              </w:rPr>
              <w:t>Construction Site Soil Loss Calculation</w:t>
            </w:r>
            <w:r w:rsidR="001372DE">
              <w:rPr>
                <w:rFonts w:cstheme="minorHAnsi"/>
                <w:b/>
                <w:sz w:val="28"/>
                <w:szCs w:val="28"/>
              </w:rPr>
              <w:t xml:space="preserve"> </w:t>
            </w:r>
            <w:r w:rsidR="00A838D5">
              <w:rPr>
                <w:rFonts w:cstheme="minorHAnsi"/>
                <w:b/>
                <w:sz w:val="28"/>
                <w:szCs w:val="28"/>
              </w:rPr>
              <w:t>Guidance</w:t>
            </w:r>
            <w:r w:rsidR="002A00AE" w:rsidRPr="002A00AE">
              <w:rPr>
                <w:rFonts w:cstheme="minorHAnsi"/>
                <w:b/>
                <w:color w:val="000000" w:themeColor="text1"/>
                <w:sz w:val="28"/>
                <w:szCs w:val="28"/>
              </w:rPr>
              <w:t xml:space="preserve"> </w:t>
            </w:r>
          </w:p>
          <w:p w:rsidR="002A00AE" w:rsidRPr="002A00AE" w:rsidRDefault="002A00AE" w:rsidP="002A00AE">
            <w:pPr>
              <w:jc w:val="right"/>
              <w:rPr>
                <w:rFonts w:cstheme="minorHAnsi"/>
                <w:b/>
                <w:color w:val="000000" w:themeColor="text1"/>
                <w:sz w:val="28"/>
                <w:szCs w:val="28"/>
              </w:rPr>
            </w:pPr>
            <w:r w:rsidRPr="002A00AE">
              <w:rPr>
                <w:rFonts w:cstheme="minorHAnsi"/>
                <w:b/>
                <w:color w:val="000000" w:themeColor="text1"/>
                <w:sz w:val="28"/>
                <w:szCs w:val="28"/>
              </w:rPr>
              <w:t>NEWSC Rules &amp; Regulations Committee</w:t>
            </w:r>
          </w:p>
          <w:p w:rsidR="002A00AE" w:rsidRPr="002A00AE" w:rsidRDefault="000A1FC7" w:rsidP="00054F3F">
            <w:pPr>
              <w:jc w:val="right"/>
              <w:rPr>
                <w:rFonts w:cstheme="minorHAnsi"/>
                <w:b/>
                <w:sz w:val="28"/>
                <w:szCs w:val="28"/>
              </w:rPr>
            </w:pPr>
            <w:r>
              <w:rPr>
                <w:rFonts w:cstheme="minorHAnsi"/>
                <w:b/>
                <w:sz w:val="28"/>
                <w:szCs w:val="28"/>
              </w:rPr>
              <w:t>April 9</w:t>
            </w:r>
            <w:r w:rsidR="00A838D5">
              <w:rPr>
                <w:rFonts w:cstheme="minorHAnsi"/>
                <w:b/>
                <w:sz w:val="28"/>
                <w:szCs w:val="28"/>
              </w:rPr>
              <w:t>, 2015</w:t>
            </w:r>
          </w:p>
        </w:tc>
      </w:tr>
    </w:tbl>
    <w:p w:rsidR="004F50A5" w:rsidRPr="00533FBF" w:rsidRDefault="004F50A5" w:rsidP="004F50A5">
      <w:pPr>
        <w:spacing w:after="120"/>
        <w:jc w:val="center"/>
        <w:rPr>
          <w:rFonts w:cstheme="minorHAnsi"/>
          <w:b/>
          <w:color w:val="000000" w:themeColor="text1"/>
        </w:rPr>
      </w:pPr>
    </w:p>
    <w:p w:rsidR="00C41D58" w:rsidRPr="00C41D58" w:rsidRDefault="000121D7" w:rsidP="000A1FC7">
      <w:pPr>
        <w:pStyle w:val="ListParagraph"/>
        <w:numPr>
          <w:ilvl w:val="0"/>
          <w:numId w:val="2"/>
        </w:numPr>
        <w:spacing w:after="0"/>
        <w:jc w:val="both"/>
        <w:rPr>
          <w:rFonts w:ascii="Arial" w:hAnsi="Arial" w:cs="Arial"/>
        </w:rPr>
      </w:pPr>
      <w:r>
        <w:rPr>
          <w:b/>
          <w:color w:val="000000" w:themeColor="text1"/>
        </w:rPr>
        <w:t>D. Guidance</w:t>
      </w:r>
      <w:r w:rsidR="001E3286" w:rsidRPr="00673D1D">
        <w:rPr>
          <w:b/>
          <w:color w:val="000000" w:themeColor="text1"/>
        </w:rPr>
        <w:t xml:space="preserve"> (page </w:t>
      </w:r>
      <w:r>
        <w:rPr>
          <w:b/>
          <w:color w:val="000000" w:themeColor="text1"/>
        </w:rPr>
        <w:t>3</w:t>
      </w:r>
      <w:r w:rsidR="001E3286" w:rsidRPr="00673D1D">
        <w:rPr>
          <w:b/>
          <w:color w:val="000000" w:themeColor="text1"/>
        </w:rPr>
        <w:t>)</w:t>
      </w:r>
      <w:r w:rsidR="001E3286" w:rsidRPr="00673D1D">
        <w:rPr>
          <w:color w:val="000000" w:themeColor="text1"/>
        </w:rPr>
        <w:t xml:space="preserve"> – </w:t>
      </w:r>
      <w:r w:rsidR="001E3286">
        <w:rPr>
          <w:color w:val="000000" w:themeColor="text1"/>
        </w:rPr>
        <w:t xml:space="preserve">Please </w:t>
      </w:r>
      <w:r>
        <w:rPr>
          <w:color w:val="000000" w:themeColor="text1"/>
        </w:rPr>
        <w:t>add the following statement</w:t>
      </w:r>
      <w:r w:rsidR="00DB5027">
        <w:rPr>
          <w:color w:val="000000" w:themeColor="text1"/>
        </w:rPr>
        <w:t xml:space="preserve"> at the start of the section</w:t>
      </w:r>
      <w:r>
        <w:rPr>
          <w:color w:val="000000" w:themeColor="text1"/>
        </w:rPr>
        <w:t>:  “This guidance document is effective January 1, 2016 or 6 months after the signature date identified on the cover page, whichever is later.  This time delay will provide permit applicants with time to incorporate the soil loss calculations into their project planning and contracts</w:t>
      </w:r>
      <w:r w:rsidR="00C41D58">
        <w:rPr>
          <w:color w:val="000000" w:themeColor="text1"/>
        </w:rPr>
        <w:t>, such that permit applications submitted after January 1, 2016 can include the soil loss calculations</w:t>
      </w:r>
      <w:r>
        <w:rPr>
          <w:color w:val="000000" w:themeColor="text1"/>
        </w:rPr>
        <w:t xml:space="preserve">.”  </w:t>
      </w:r>
    </w:p>
    <w:p w:rsidR="00C41D58" w:rsidRDefault="00C41D58" w:rsidP="00C41D58">
      <w:pPr>
        <w:pStyle w:val="ListParagraph"/>
        <w:spacing w:after="0"/>
        <w:jc w:val="both"/>
        <w:rPr>
          <w:color w:val="000000" w:themeColor="text1"/>
        </w:rPr>
      </w:pPr>
    </w:p>
    <w:p w:rsidR="00C41D58" w:rsidRDefault="00C41D58" w:rsidP="00C41D58">
      <w:pPr>
        <w:pStyle w:val="ListParagraph"/>
        <w:spacing w:after="0"/>
        <w:jc w:val="both"/>
        <w:rPr>
          <w:color w:val="000000" w:themeColor="text1"/>
        </w:rPr>
      </w:pPr>
      <w:r>
        <w:rPr>
          <w:color w:val="000000" w:themeColor="text1"/>
        </w:rPr>
        <w:t xml:space="preserve">We hope the WDNR recognizes that the 80% TSS or 5 ton/acre/year performance standard has been in NR 151.11 for over 12 years, but the spreadsheet tool was only recently released by WDNR.  It took 12 years to develop the spreadsheet tool.  As such, we feel it is reasonable and appropriate to provide an implementation delay </w:t>
      </w:r>
      <w:r w:rsidR="006F1578">
        <w:rPr>
          <w:color w:val="000000" w:themeColor="text1"/>
        </w:rPr>
        <w:t>for</w:t>
      </w:r>
      <w:r>
        <w:rPr>
          <w:color w:val="000000" w:themeColor="text1"/>
        </w:rPr>
        <w:t xml:space="preserve"> permit applicants, municipalities, engineers, and contractors.</w:t>
      </w:r>
      <w:r w:rsidR="006F1578">
        <w:rPr>
          <w:color w:val="000000" w:themeColor="text1"/>
        </w:rPr>
        <w:t xml:space="preserve">  </w:t>
      </w:r>
      <w:r w:rsidR="00241FC6">
        <w:rPr>
          <w:color w:val="000000" w:themeColor="text1"/>
        </w:rPr>
        <w:t>State-wide t</w:t>
      </w:r>
      <w:r w:rsidR="006F1578">
        <w:rPr>
          <w:color w:val="000000" w:themeColor="text1"/>
        </w:rPr>
        <w:t>raining is needed on this topic.</w:t>
      </w:r>
    </w:p>
    <w:p w:rsidR="00C41D58" w:rsidRDefault="00C41D58" w:rsidP="00C41D58">
      <w:pPr>
        <w:pStyle w:val="ListParagraph"/>
        <w:spacing w:after="0"/>
        <w:jc w:val="both"/>
        <w:rPr>
          <w:rFonts w:ascii="Arial" w:hAnsi="Arial" w:cs="Arial"/>
        </w:rPr>
      </w:pPr>
    </w:p>
    <w:p w:rsidR="00A06CF5" w:rsidRDefault="00A06CF5" w:rsidP="00C41D58">
      <w:pPr>
        <w:pStyle w:val="ListParagraph"/>
        <w:spacing w:after="0"/>
        <w:jc w:val="both"/>
        <w:rPr>
          <w:rFonts w:ascii="Arial" w:hAnsi="Arial" w:cs="Arial"/>
          <w:color w:val="FF0000"/>
        </w:rPr>
      </w:pPr>
      <w:r>
        <w:rPr>
          <w:rFonts w:ascii="Arial" w:hAnsi="Arial" w:cs="Arial"/>
          <w:color w:val="FF0000"/>
        </w:rPr>
        <w:t xml:space="preserve">Add in technical difficulties with the spreadsheet should not result in a delay or </w:t>
      </w:r>
    </w:p>
    <w:p w:rsidR="00A06CF5" w:rsidRDefault="00A06CF5" w:rsidP="00C41D58">
      <w:pPr>
        <w:pStyle w:val="ListParagraph"/>
        <w:spacing w:after="0"/>
        <w:jc w:val="both"/>
        <w:rPr>
          <w:rFonts w:ascii="Arial" w:hAnsi="Arial" w:cs="Arial"/>
          <w:color w:val="FF0000"/>
        </w:rPr>
      </w:pPr>
      <w:r>
        <w:rPr>
          <w:rFonts w:ascii="Arial" w:hAnsi="Arial" w:cs="Arial"/>
          <w:color w:val="FF0000"/>
        </w:rPr>
        <w:t>Steps to ensure functionality of tool – ensure macros are enabled and a small tutorial how to enable macros.  Also how to set security settings to enable full use of tool. Also what version excel is most compatible.</w:t>
      </w:r>
      <w:bookmarkStart w:id="0" w:name="_GoBack"/>
      <w:bookmarkEnd w:id="0"/>
    </w:p>
    <w:p w:rsidR="00A06CF5" w:rsidRPr="00A06CF5" w:rsidRDefault="00A06CF5" w:rsidP="00C41D58">
      <w:pPr>
        <w:pStyle w:val="ListParagraph"/>
        <w:spacing w:after="0"/>
        <w:jc w:val="both"/>
        <w:rPr>
          <w:rFonts w:ascii="Arial" w:hAnsi="Arial" w:cs="Arial"/>
          <w:color w:val="FF0000"/>
        </w:rPr>
      </w:pPr>
    </w:p>
    <w:p w:rsidR="009D199C" w:rsidRDefault="00916DE7" w:rsidP="000A1FC7">
      <w:pPr>
        <w:pStyle w:val="ListParagraph"/>
        <w:numPr>
          <w:ilvl w:val="0"/>
          <w:numId w:val="2"/>
        </w:numPr>
        <w:spacing w:after="0"/>
        <w:jc w:val="both"/>
        <w:rPr>
          <w:rFonts w:ascii="Arial" w:hAnsi="Arial" w:cs="Arial"/>
        </w:rPr>
      </w:pPr>
      <w:r>
        <w:rPr>
          <w:b/>
          <w:color w:val="000000" w:themeColor="text1"/>
        </w:rPr>
        <w:t xml:space="preserve">D. Guidance, </w:t>
      </w:r>
      <w:r w:rsidR="00AB1AC2">
        <w:rPr>
          <w:b/>
          <w:color w:val="000000" w:themeColor="text1"/>
        </w:rPr>
        <w:t xml:space="preserve">Step 1, </w:t>
      </w:r>
      <w:r>
        <w:rPr>
          <w:b/>
          <w:color w:val="000000" w:themeColor="text1"/>
        </w:rPr>
        <w:t>a)</w:t>
      </w:r>
      <w:r w:rsidRPr="00673D1D">
        <w:rPr>
          <w:b/>
          <w:color w:val="000000" w:themeColor="text1"/>
        </w:rPr>
        <w:t xml:space="preserve"> </w:t>
      </w:r>
      <w:r>
        <w:rPr>
          <w:b/>
          <w:color w:val="000000" w:themeColor="text1"/>
        </w:rPr>
        <w:t xml:space="preserve">Representative Worst Case </w:t>
      </w:r>
      <w:r w:rsidRPr="00673D1D">
        <w:rPr>
          <w:b/>
          <w:color w:val="000000" w:themeColor="text1"/>
        </w:rPr>
        <w:t xml:space="preserve">(page </w:t>
      </w:r>
      <w:r>
        <w:rPr>
          <w:b/>
          <w:color w:val="000000" w:themeColor="text1"/>
        </w:rPr>
        <w:t>3</w:t>
      </w:r>
      <w:r w:rsidRPr="00673D1D">
        <w:rPr>
          <w:b/>
          <w:color w:val="000000" w:themeColor="text1"/>
        </w:rPr>
        <w:t>)</w:t>
      </w:r>
      <w:r w:rsidRPr="00673D1D">
        <w:rPr>
          <w:color w:val="000000" w:themeColor="text1"/>
        </w:rPr>
        <w:t xml:space="preserve"> –</w:t>
      </w:r>
      <w:r>
        <w:rPr>
          <w:color w:val="000000" w:themeColor="text1"/>
        </w:rPr>
        <w:t xml:space="preserve"> Please clarify that the permit</w:t>
      </w:r>
      <w:r w:rsidR="0094231F">
        <w:rPr>
          <w:color w:val="000000" w:themeColor="text1"/>
        </w:rPr>
        <w:t xml:space="preserve"> applicant </w:t>
      </w:r>
      <w:r>
        <w:rPr>
          <w:color w:val="000000" w:themeColor="text1"/>
        </w:rPr>
        <w:t xml:space="preserve">can </w:t>
      </w:r>
      <w:r w:rsidR="0094231F">
        <w:rPr>
          <w:color w:val="000000" w:themeColor="text1"/>
        </w:rPr>
        <w:t xml:space="preserve">elect to </w:t>
      </w:r>
      <w:r>
        <w:rPr>
          <w:color w:val="000000" w:themeColor="text1"/>
        </w:rPr>
        <w:t xml:space="preserve">also </w:t>
      </w:r>
      <w:r w:rsidR="0094231F">
        <w:rPr>
          <w:color w:val="000000" w:themeColor="text1"/>
        </w:rPr>
        <w:t>subdivide the site into smaller areas, rather than use the worst case condition.  The draft guidance implies the permit applicant needs to use the worst case condition in an effort to be conservative.  Please clarify that this is not a requirement, but rather a suggestion.</w:t>
      </w:r>
      <w:r>
        <w:rPr>
          <w:color w:val="000000" w:themeColor="text1"/>
        </w:rPr>
        <w:t xml:space="preserve"> </w:t>
      </w:r>
      <w:r w:rsidR="00F16FA9">
        <w:rPr>
          <w:color w:val="000000" w:themeColor="text1"/>
        </w:rPr>
        <w:t xml:space="preserve"> It will likely be more difficult to meet the 5 tons/acre/year standard if one worst case condition is selected for the entire construction site.  </w:t>
      </w:r>
    </w:p>
    <w:p w:rsidR="0094231F" w:rsidRPr="00C41D58" w:rsidRDefault="0094231F" w:rsidP="0094231F">
      <w:pPr>
        <w:pStyle w:val="ListParagraph"/>
        <w:spacing w:after="0"/>
        <w:jc w:val="both"/>
        <w:rPr>
          <w:rFonts w:ascii="Arial" w:hAnsi="Arial" w:cs="Arial"/>
        </w:rPr>
      </w:pPr>
    </w:p>
    <w:p w:rsidR="0094231F" w:rsidRPr="0094231F" w:rsidRDefault="0094231F" w:rsidP="0094231F">
      <w:pPr>
        <w:pStyle w:val="ListParagraph"/>
        <w:numPr>
          <w:ilvl w:val="0"/>
          <w:numId w:val="2"/>
        </w:numPr>
        <w:spacing w:after="0"/>
        <w:jc w:val="both"/>
        <w:rPr>
          <w:rFonts w:ascii="Arial" w:hAnsi="Arial" w:cs="Arial"/>
        </w:rPr>
      </w:pPr>
      <w:r>
        <w:rPr>
          <w:b/>
          <w:color w:val="000000" w:themeColor="text1"/>
        </w:rPr>
        <w:t xml:space="preserve">D. Guidance, </w:t>
      </w:r>
      <w:r w:rsidR="00AB1AC2">
        <w:rPr>
          <w:b/>
          <w:color w:val="000000" w:themeColor="text1"/>
        </w:rPr>
        <w:t xml:space="preserve">Step 1, </w:t>
      </w:r>
      <w:r>
        <w:rPr>
          <w:b/>
          <w:color w:val="000000" w:themeColor="text1"/>
        </w:rPr>
        <w:t>a)</w:t>
      </w:r>
      <w:r w:rsidRPr="00673D1D">
        <w:rPr>
          <w:b/>
          <w:color w:val="000000" w:themeColor="text1"/>
        </w:rPr>
        <w:t xml:space="preserve"> </w:t>
      </w:r>
      <w:r>
        <w:rPr>
          <w:b/>
          <w:color w:val="000000" w:themeColor="text1"/>
        </w:rPr>
        <w:t xml:space="preserve">Representative Worst Case </w:t>
      </w:r>
      <w:r w:rsidRPr="00673D1D">
        <w:rPr>
          <w:b/>
          <w:color w:val="000000" w:themeColor="text1"/>
        </w:rPr>
        <w:t xml:space="preserve">(page </w:t>
      </w:r>
      <w:r>
        <w:rPr>
          <w:b/>
          <w:color w:val="000000" w:themeColor="text1"/>
        </w:rPr>
        <w:t>3</w:t>
      </w:r>
      <w:r w:rsidRPr="00673D1D">
        <w:rPr>
          <w:b/>
          <w:color w:val="000000" w:themeColor="text1"/>
        </w:rPr>
        <w:t>)</w:t>
      </w:r>
      <w:r w:rsidRPr="00673D1D">
        <w:rPr>
          <w:color w:val="000000" w:themeColor="text1"/>
        </w:rPr>
        <w:t xml:space="preserve"> –</w:t>
      </w:r>
      <w:r>
        <w:rPr>
          <w:color w:val="000000" w:themeColor="text1"/>
        </w:rPr>
        <w:t xml:space="preserve"> In the second last sentence on page 3, please delete the phase “DNR or jurisdictional municipality” and replace with “DNR and jurisdictional municipality”.  The DNR may not agree with the jurisdictional municipality’s plan review and the jurisdictional municipality may not agree with the DNR’s plan review.  As such, the permit applicant should talk to both regulatory entities, rather than assume that one </w:t>
      </w:r>
      <w:r w:rsidR="00C45C8D">
        <w:rPr>
          <w:color w:val="000000" w:themeColor="text1"/>
        </w:rPr>
        <w:t xml:space="preserve">entity </w:t>
      </w:r>
      <w:r>
        <w:rPr>
          <w:color w:val="000000" w:themeColor="text1"/>
        </w:rPr>
        <w:t>can speak on the other’s behalf.</w:t>
      </w:r>
      <w:r w:rsidR="00250457" w:rsidRPr="00250457">
        <w:rPr>
          <w:color w:val="000000" w:themeColor="text1"/>
        </w:rPr>
        <w:t xml:space="preserve"> </w:t>
      </w:r>
      <w:r w:rsidR="00250457">
        <w:rPr>
          <w:color w:val="000000" w:themeColor="text1"/>
        </w:rPr>
        <w:t xml:space="preserve"> Both entities issue permits.</w:t>
      </w:r>
    </w:p>
    <w:p w:rsidR="0094231F" w:rsidRPr="0094231F" w:rsidRDefault="0094231F" w:rsidP="0094231F">
      <w:pPr>
        <w:pStyle w:val="ListParagraph"/>
        <w:rPr>
          <w:color w:val="000000" w:themeColor="text1"/>
        </w:rPr>
      </w:pPr>
    </w:p>
    <w:p w:rsidR="0094231F" w:rsidRPr="0094231F" w:rsidRDefault="0094231F" w:rsidP="0094231F">
      <w:pPr>
        <w:pStyle w:val="ListParagraph"/>
        <w:numPr>
          <w:ilvl w:val="0"/>
          <w:numId w:val="2"/>
        </w:numPr>
        <w:spacing w:after="0"/>
        <w:jc w:val="both"/>
        <w:rPr>
          <w:rFonts w:ascii="Arial" w:hAnsi="Arial" w:cs="Arial"/>
        </w:rPr>
      </w:pPr>
      <w:r>
        <w:rPr>
          <w:b/>
          <w:color w:val="000000" w:themeColor="text1"/>
        </w:rPr>
        <w:t xml:space="preserve">D. Guidance, </w:t>
      </w:r>
      <w:r w:rsidR="00AB1AC2">
        <w:rPr>
          <w:b/>
          <w:color w:val="000000" w:themeColor="text1"/>
        </w:rPr>
        <w:t xml:space="preserve">Step 1, </w:t>
      </w:r>
      <w:r>
        <w:rPr>
          <w:b/>
          <w:color w:val="000000" w:themeColor="text1"/>
        </w:rPr>
        <w:t>b)</w:t>
      </w:r>
      <w:r w:rsidRPr="00673D1D">
        <w:rPr>
          <w:b/>
          <w:color w:val="000000" w:themeColor="text1"/>
        </w:rPr>
        <w:t xml:space="preserve"> </w:t>
      </w:r>
      <w:r>
        <w:rPr>
          <w:b/>
          <w:color w:val="000000" w:themeColor="text1"/>
        </w:rPr>
        <w:t xml:space="preserve">Prescriptive Compliance </w:t>
      </w:r>
      <w:r w:rsidRPr="00673D1D">
        <w:rPr>
          <w:b/>
          <w:color w:val="000000" w:themeColor="text1"/>
        </w:rPr>
        <w:t xml:space="preserve">(page </w:t>
      </w:r>
      <w:r>
        <w:rPr>
          <w:b/>
          <w:color w:val="000000" w:themeColor="text1"/>
        </w:rPr>
        <w:t>4</w:t>
      </w:r>
      <w:r w:rsidRPr="00673D1D">
        <w:rPr>
          <w:b/>
          <w:color w:val="000000" w:themeColor="text1"/>
        </w:rPr>
        <w:t>)</w:t>
      </w:r>
      <w:r w:rsidRPr="00673D1D">
        <w:rPr>
          <w:color w:val="000000" w:themeColor="text1"/>
        </w:rPr>
        <w:t xml:space="preserve"> –</w:t>
      </w:r>
      <w:r>
        <w:rPr>
          <w:color w:val="000000" w:themeColor="text1"/>
        </w:rPr>
        <w:t xml:space="preserve"> In the third sentence of the first paragraph</w:t>
      </w:r>
      <w:r w:rsidR="00250457">
        <w:rPr>
          <w:color w:val="000000" w:themeColor="text1"/>
        </w:rPr>
        <w:t xml:space="preserve"> in section b)</w:t>
      </w:r>
      <w:r>
        <w:rPr>
          <w:color w:val="000000" w:themeColor="text1"/>
        </w:rPr>
        <w:t xml:space="preserve">, please delete the </w:t>
      </w:r>
      <w:r w:rsidRPr="00E058FE">
        <w:rPr>
          <w:color w:val="FF0000"/>
        </w:rPr>
        <w:t>ph</w:t>
      </w:r>
      <w:r w:rsidR="00E058FE">
        <w:rPr>
          <w:color w:val="FF0000"/>
        </w:rPr>
        <w:t>r</w:t>
      </w:r>
      <w:r w:rsidRPr="00E058FE">
        <w:rPr>
          <w:color w:val="FF0000"/>
        </w:rPr>
        <w:t>ase</w:t>
      </w:r>
      <w:r>
        <w:rPr>
          <w:color w:val="000000" w:themeColor="text1"/>
        </w:rPr>
        <w:t xml:space="preserve"> “and channel erosion matting”.  The Wisconsin DOT PAL does not require erosion matting for all drainage swales.  Erosion </w:t>
      </w:r>
      <w:r w:rsidR="00250457">
        <w:rPr>
          <w:color w:val="000000" w:themeColor="text1"/>
        </w:rPr>
        <w:t xml:space="preserve">matting is only required if </w:t>
      </w:r>
      <w:r>
        <w:rPr>
          <w:color w:val="000000" w:themeColor="text1"/>
        </w:rPr>
        <w:t xml:space="preserve">seed and mulch is </w:t>
      </w:r>
      <w:r w:rsidR="00250457">
        <w:rPr>
          <w:color w:val="000000" w:themeColor="text1"/>
        </w:rPr>
        <w:t xml:space="preserve">not adequate to prevent </w:t>
      </w:r>
      <w:r>
        <w:rPr>
          <w:color w:val="000000" w:themeColor="text1"/>
        </w:rPr>
        <w:t>eros</w:t>
      </w:r>
      <w:r w:rsidR="00250457">
        <w:rPr>
          <w:color w:val="000000" w:themeColor="text1"/>
        </w:rPr>
        <w:t>ion</w:t>
      </w:r>
      <w:r>
        <w:rPr>
          <w:color w:val="000000" w:themeColor="text1"/>
        </w:rPr>
        <w:t xml:space="preserve">. </w:t>
      </w:r>
      <w:r w:rsidR="004D791B">
        <w:rPr>
          <w:color w:val="000000" w:themeColor="text1"/>
        </w:rPr>
        <w:t xml:space="preserve"> </w:t>
      </w:r>
    </w:p>
    <w:p w:rsidR="0094231F" w:rsidRPr="0094231F" w:rsidRDefault="0094231F" w:rsidP="0094231F">
      <w:pPr>
        <w:pStyle w:val="ListParagraph"/>
        <w:rPr>
          <w:color w:val="000000" w:themeColor="text1"/>
        </w:rPr>
      </w:pPr>
    </w:p>
    <w:p w:rsidR="00AB1AC2" w:rsidRDefault="0094231F" w:rsidP="00AB1AC2">
      <w:pPr>
        <w:pStyle w:val="ListParagraph"/>
        <w:numPr>
          <w:ilvl w:val="0"/>
          <w:numId w:val="2"/>
        </w:numPr>
        <w:spacing w:after="0"/>
        <w:jc w:val="both"/>
        <w:rPr>
          <w:color w:val="000000" w:themeColor="text1"/>
        </w:rPr>
      </w:pPr>
      <w:r>
        <w:rPr>
          <w:b/>
          <w:color w:val="000000" w:themeColor="text1"/>
        </w:rPr>
        <w:t xml:space="preserve">D. Guidance, </w:t>
      </w:r>
      <w:r w:rsidR="00AB1AC2">
        <w:rPr>
          <w:b/>
          <w:color w:val="000000" w:themeColor="text1"/>
        </w:rPr>
        <w:t xml:space="preserve">Step 1, </w:t>
      </w:r>
      <w:r>
        <w:rPr>
          <w:b/>
          <w:color w:val="000000" w:themeColor="text1"/>
        </w:rPr>
        <w:t>b)</w:t>
      </w:r>
      <w:r w:rsidRPr="00673D1D">
        <w:rPr>
          <w:b/>
          <w:color w:val="000000" w:themeColor="text1"/>
        </w:rPr>
        <w:t xml:space="preserve"> </w:t>
      </w:r>
      <w:r>
        <w:rPr>
          <w:b/>
          <w:color w:val="000000" w:themeColor="text1"/>
        </w:rPr>
        <w:t>Prescriptive Compliance</w:t>
      </w:r>
      <w:r w:rsidR="00250457">
        <w:rPr>
          <w:b/>
          <w:color w:val="000000" w:themeColor="text1"/>
        </w:rPr>
        <w:t>, Table 1</w:t>
      </w:r>
      <w:r>
        <w:rPr>
          <w:b/>
          <w:color w:val="000000" w:themeColor="text1"/>
        </w:rPr>
        <w:t xml:space="preserve"> </w:t>
      </w:r>
      <w:r w:rsidRPr="00673D1D">
        <w:rPr>
          <w:b/>
          <w:color w:val="000000" w:themeColor="text1"/>
        </w:rPr>
        <w:t xml:space="preserve">(page </w:t>
      </w:r>
      <w:r w:rsidR="00AB1AC2">
        <w:rPr>
          <w:b/>
          <w:color w:val="000000" w:themeColor="text1"/>
        </w:rPr>
        <w:t>5</w:t>
      </w:r>
      <w:r w:rsidRPr="00673D1D">
        <w:rPr>
          <w:b/>
          <w:color w:val="000000" w:themeColor="text1"/>
        </w:rPr>
        <w:t>)</w:t>
      </w:r>
      <w:r w:rsidRPr="00673D1D">
        <w:rPr>
          <w:color w:val="000000" w:themeColor="text1"/>
        </w:rPr>
        <w:t xml:space="preserve"> –</w:t>
      </w:r>
      <w:r>
        <w:rPr>
          <w:color w:val="000000" w:themeColor="text1"/>
        </w:rPr>
        <w:t xml:space="preserve"> </w:t>
      </w:r>
      <w:r w:rsidR="00A01D9A">
        <w:rPr>
          <w:color w:val="000000" w:themeColor="text1"/>
        </w:rPr>
        <w:t xml:space="preserve">Please modify the Table 1 header and section </w:t>
      </w:r>
      <w:proofErr w:type="gramStart"/>
      <w:r w:rsidR="00A01D9A">
        <w:rPr>
          <w:color w:val="000000" w:themeColor="text1"/>
        </w:rPr>
        <w:t>iv</w:t>
      </w:r>
      <w:proofErr w:type="gramEnd"/>
      <w:r w:rsidR="00A01D9A">
        <w:rPr>
          <w:color w:val="000000" w:themeColor="text1"/>
        </w:rPr>
        <w:t xml:space="preserve"> text.  </w:t>
      </w:r>
      <w:r w:rsidR="00AB1AC2">
        <w:rPr>
          <w:color w:val="000000" w:themeColor="text1"/>
        </w:rPr>
        <w:t xml:space="preserve">NR 151.11 does not contain a maximum period of bare soil exposure for slopes exceeding 20%.  The </w:t>
      </w:r>
      <w:r w:rsidR="00A01D9A">
        <w:rPr>
          <w:color w:val="000000" w:themeColor="text1"/>
        </w:rPr>
        <w:t xml:space="preserve">draft </w:t>
      </w:r>
      <w:r w:rsidR="00AB1AC2">
        <w:rPr>
          <w:color w:val="000000" w:themeColor="text1"/>
        </w:rPr>
        <w:t xml:space="preserve">guidance implies that the maximum periods contained within Table 1 are a </w:t>
      </w:r>
      <w:r w:rsidR="00A01D9A">
        <w:rPr>
          <w:color w:val="000000" w:themeColor="text1"/>
        </w:rPr>
        <w:t xml:space="preserve">new </w:t>
      </w:r>
      <w:r w:rsidR="00AB1AC2">
        <w:rPr>
          <w:color w:val="000000" w:themeColor="text1"/>
        </w:rPr>
        <w:t xml:space="preserve">regulatory requirement.  Below are the only references to a maximum number of days identified </w:t>
      </w:r>
      <w:r w:rsidR="00A01D9A">
        <w:rPr>
          <w:color w:val="000000" w:themeColor="text1"/>
        </w:rPr>
        <w:t>with</w:t>
      </w:r>
      <w:r w:rsidR="00AB1AC2">
        <w:rPr>
          <w:color w:val="000000" w:themeColor="text1"/>
        </w:rPr>
        <w:t>in NR 151.11:</w:t>
      </w:r>
    </w:p>
    <w:p w:rsidR="00AB1AC2" w:rsidRPr="00AB1AC2" w:rsidRDefault="00AB1AC2" w:rsidP="00AB1AC2">
      <w:pPr>
        <w:pStyle w:val="ListParagraph"/>
        <w:rPr>
          <w:color w:val="000000" w:themeColor="text1"/>
        </w:rPr>
      </w:pPr>
    </w:p>
    <w:p w:rsidR="00AB1AC2" w:rsidRPr="00AB1AC2" w:rsidRDefault="00AB1AC2" w:rsidP="00AB1AC2">
      <w:pPr>
        <w:pStyle w:val="ListParagraph"/>
        <w:numPr>
          <w:ilvl w:val="0"/>
          <w:numId w:val="4"/>
        </w:numPr>
        <w:spacing w:after="0"/>
        <w:jc w:val="both"/>
        <w:rPr>
          <w:color w:val="000000" w:themeColor="text1"/>
        </w:rPr>
      </w:pPr>
      <w:r w:rsidRPr="00AB1AC2">
        <w:rPr>
          <w:color w:val="000000" w:themeColor="text1"/>
        </w:rPr>
        <w:t>NR 151.11(</w:t>
      </w:r>
      <w:r>
        <w:rPr>
          <w:color w:val="000000" w:themeColor="text1"/>
        </w:rPr>
        <w:t>6m</w:t>
      </w:r>
      <w:r w:rsidRPr="00AB1AC2">
        <w:rPr>
          <w:color w:val="000000" w:themeColor="text1"/>
        </w:rPr>
        <w:t xml:space="preserve">) requires </w:t>
      </w:r>
      <w:r>
        <w:rPr>
          <w:color w:val="000000" w:themeColor="text1"/>
        </w:rPr>
        <w:t>that t</w:t>
      </w:r>
      <w:r w:rsidRPr="00AB1AC2">
        <w:rPr>
          <w:color w:val="000000" w:themeColor="text1"/>
        </w:rPr>
        <w:t xml:space="preserve">he </w:t>
      </w:r>
      <w:r>
        <w:rPr>
          <w:color w:val="000000" w:themeColor="text1"/>
        </w:rPr>
        <w:t xml:space="preserve">permit applicant prevent or reduce the </w:t>
      </w:r>
      <w:r w:rsidRPr="00AB1AC2">
        <w:rPr>
          <w:color w:val="000000" w:themeColor="text1"/>
        </w:rPr>
        <w:t>discharge of sediment eroding from soil stockpiles</w:t>
      </w:r>
      <w:r>
        <w:rPr>
          <w:color w:val="000000" w:themeColor="text1"/>
        </w:rPr>
        <w:t xml:space="preserve"> </w:t>
      </w:r>
      <w:r w:rsidRPr="00AB1AC2">
        <w:rPr>
          <w:color w:val="000000" w:themeColor="text1"/>
        </w:rPr>
        <w:t>existing for more than 7 days.</w:t>
      </w:r>
    </w:p>
    <w:p w:rsidR="0094231F" w:rsidRPr="00AB1AC2" w:rsidRDefault="00AB1AC2" w:rsidP="00AB1AC2">
      <w:pPr>
        <w:pStyle w:val="ListParagraph"/>
        <w:numPr>
          <w:ilvl w:val="0"/>
          <w:numId w:val="4"/>
        </w:numPr>
        <w:spacing w:after="0"/>
        <w:jc w:val="both"/>
        <w:rPr>
          <w:color w:val="000000" w:themeColor="text1"/>
        </w:rPr>
      </w:pPr>
      <w:r w:rsidRPr="00AB1AC2">
        <w:rPr>
          <w:color w:val="000000" w:themeColor="text1"/>
        </w:rPr>
        <w:t xml:space="preserve">NR 151.11(8) requires temporary stabilization when land disturbing construction activities have temporarily ceased and will not resume for a period exceeding 14 calendar days.  </w:t>
      </w:r>
    </w:p>
    <w:p w:rsidR="004E2EFE" w:rsidRPr="0094231F" w:rsidRDefault="004E2EFE" w:rsidP="00AB1AC2">
      <w:pPr>
        <w:pStyle w:val="ListParagraph"/>
        <w:rPr>
          <w:color w:val="000000" w:themeColor="text1"/>
        </w:rPr>
      </w:pPr>
    </w:p>
    <w:p w:rsidR="004E2EFE" w:rsidRDefault="00AB1AC2" w:rsidP="00AB1AC2">
      <w:pPr>
        <w:pStyle w:val="ListParagraph"/>
        <w:numPr>
          <w:ilvl w:val="0"/>
          <w:numId w:val="2"/>
        </w:numPr>
        <w:spacing w:after="0"/>
        <w:jc w:val="both"/>
        <w:rPr>
          <w:color w:val="000000" w:themeColor="text1"/>
        </w:rPr>
      </w:pPr>
      <w:r>
        <w:rPr>
          <w:b/>
          <w:color w:val="000000" w:themeColor="text1"/>
        </w:rPr>
        <w:t xml:space="preserve">D. Guidance, Step </w:t>
      </w:r>
      <w:r w:rsidR="004E2EFE">
        <w:rPr>
          <w:b/>
          <w:color w:val="000000" w:themeColor="text1"/>
        </w:rPr>
        <w:t>2</w:t>
      </w:r>
      <w:r>
        <w:rPr>
          <w:b/>
          <w:color w:val="000000" w:themeColor="text1"/>
        </w:rPr>
        <w:t>, b)</w:t>
      </w:r>
      <w:r w:rsidRPr="00673D1D">
        <w:rPr>
          <w:b/>
          <w:color w:val="000000" w:themeColor="text1"/>
        </w:rPr>
        <w:t xml:space="preserve"> </w:t>
      </w:r>
      <w:r w:rsidR="004E2EFE">
        <w:rPr>
          <w:b/>
          <w:color w:val="000000" w:themeColor="text1"/>
        </w:rPr>
        <w:t>Determine Compliance Period</w:t>
      </w:r>
      <w:r>
        <w:rPr>
          <w:b/>
          <w:color w:val="000000" w:themeColor="text1"/>
        </w:rPr>
        <w:t xml:space="preserve"> </w:t>
      </w:r>
      <w:r w:rsidRPr="00673D1D">
        <w:rPr>
          <w:b/>
          <w:color w:val="000000" w:themeColor="text1"/>
        </w:rPr>
        <w:t xml:space="preserve">(page </w:t>
      </w:r>
      <w:r>
        <w:rPr>
          <w:b/>
          <w:color w:val="000000" w:themeColor="text1"/>
        </w:rPr>
        <w:t>5</w:t>
      </w:r>
      <w:r w:rsidRPr="00673D1D">
        <w:rPr>
          <w:b/>
          <w:color w:val="000000" w:themeColor="text1"/>
        </w:rPr>
        <w:t>)</w:t>
      </w:r>
      <w:r w:rsidRPr="00673D1D">
        <w:rPr>
          <w:color w:val="000000" w:themeColor="text1"/>
        </w:rPr>
        <w:t xml:space="preserve"> –</w:t>
      </w:r>
      <w:r>
        <w:rPr>
          <w:color w:val="000000" w:themeColor="text1"/>
        </w:rPr>
        <w:t xml:space="preserve"> </w:t>
      </w:r>
      <w:r w:rsidR="004E2EFE">
        <w:rPr>
          <w:color w:val="000000" w:themeColor="text1"/>
        </w:rPr>
        <w:t xml:space="preserve">In the first sentence of the second paragraph </w:t>
      </w:r>
      <w:r w:rsidR="0047085B">
        <w:rPr>
          <w:color w:val="000000" w:themeColor="text1"/>
        </w:rPr>
        <w:t>in Step 2</w:t>
      </w:r>
      <w:r w:rsidR="004E2EFE">
        <w:rPr>
          <w:color w:val="000000" w:themeColor="text1"/>
        </w:rPr>
        <w:t>, please delete the phase “consecutive 12 month period” and replace with “calendar year”.  The land disturbing start and end dates are part of developing a construction schedule and working toward compliance with the 5 tons/acre/year standard.  NR 151.11 is a calendar year performance standard, not a consecutive month standard.</w:t>
      </w:r>
      <w:r w:rsidR="0089393F">
        <w:rPr>
          <w:color w:val="000000" w:themeColor="text1"/>
        </w:rPr>
        <w:t xml:space="preserve"> </w:t>
      </w:r>
      <w:r w:rsidR="0089393F">
        <w:rPr>
          <w:color w:val="FF0000"/>
        </w:rPr>
        <w:t xml:space="preserve">The language in has historically been interpreted as a calendar year, this seems to imply a change to that </w:t>
      </w:r>
      <w:proofErr w:type="spellStart"/>
      <w:r w:rsidR="0089393F">
        <w:rPr>
          <w:color w:val="FF0000"/>
        </w:rPr>
        <w:t>inpretation</w:t>
      </w:r>
      <w:proofErr w:type="spellEnd"/>
      <w:r w:rsidR="0089393F">
        <w:rPr>
          <w:color w:val="FF0000"/>
        </w:rPr>
        <w:t xml:space="preserve">.  Please clarify. </w:t>
      </w:r>
    </w:p>
    <w:p w:rsidR="004E2EFE" w:rsidRDefault="004E2EFE" w:rsidP="004E2EFE">
      <w:pPr>
        <w:pStyle w:val="ListParagraph"/>
        <w:spacing w:after="0"/>
        <w:jc w:val="both"/>
        <w:rPr>
          <w:color w:val="000000" w:themeColor="text1"/>
        </w:rPr>
      </w:pPr>
    </w:p>
    <w:p w:rsidR="00AB1AC2" w:rsidRDefault="004E2EFE" w:rsidP="00AB1AC2">
      <w:pPr>
        <w:pStyle w:val="ListParagraph"/>
        <w:numPr>
          <w:ilvl w:val="0"/>
          <w:numId w:val="2"/>
        </w:numPr>
        <w:spacing w:after="0"/>
        <w:jc w:val="both"/>
        <w:rPr>
          <w:color w:val="000000" w:themeColor="text1"/>
        </w:rPr>
      </w:pPr>
      <w:r>
        <w:rPr>
          <w:b/>
          <w:color w:val="000000" w:themeColor="text1"/>
        </w:rPr>
        <w:t xml:space="preserve">D. Guidance, Step 5, Table 2 </w:t>
      </w:r>
      <w:r w:rsidRPr="00673D1D">
        <w:rPr>
          <w:b/>
          <w:color w:val="000000" w:themeColor="text1"/>
        </w:rPr>
        <w:t xml:space="preserve">(page </w:t>
      </w:r>
      <w:r>
        <w:rPr>
          <w:b/>
          <w:color w:val="000000" w:themeColor="text1"/>
        </w:rPr>
        <w:t>7</w:t>
      </w:r>
      <w:r w:rsidRPr="00673D1D">
        <w:rPr>
          <w:b/>
          <w:color w:val="000000" w:themeColor="text1"/>
        </w:rPr>
        <w:t>)</w:t>
      </w:r>
      <w:r w:rsidRPr="00673D1D">
        <w:rPr>
          <w:color w:val="000000" w:themeColor="text1"/>
        </w:rPr>
        <w:t xml:space="preserve"> –</w:t>
      </w:r>
      <w:r>
        <w:rPr>
          <w:color w:val="000000" w:themeColor="text1"/>
        </w:rPr>
        <w:t xml:space="preserve"> Please modify the erosion control efficiency for sod to</w:t>
      </w:r>
      <w:r w:rsidR="0047085B">
        <w:rPr>
          <w:color w:val="000000" w:themeColor="text1"/>
        </w:rPr>
        <w:t xml:space="preserve"> </w:t>
      </w:r>
      <w:r>
        <w:rPr>
          <w:color w:val="000000" w:themeColor="text1"/>
        </w:rPr>
        <w:t>100%.  Also, please add a new row to Table 2 for gravel, pavement, and roofs.  Please identify these surfaces as 100% erosion control efficiency</w:t>
      </w:r>
      <w:r w:rsidR="00AB1AC2">
        <w:rPr>
          <w:color w:val="000000" w:themeColor="text1"/>
        </w:rPr>
        <w:t xml:space="preserve">.  </w:t>
      </w:r>
    </w:p>
    <w:p w:rsidR="004E2EFE" w:rsidRDefault="004E2EFE" w:rsidP="004E2EFE">
      <w:pPr>
        <w:pStyle w:val="ListParagraph"/>
        <w:spacing w:after="0"/>
        <w:jc w:val="both"/>
        <w:rPr>
          <w:color w:val="000000" w:themeColor="text1"/>
        </w:rPr>
      </w:pPr>
    </w:p>
    <w:p w:rsidR="004E2EFE" w:rsidRDefault="004E2EFE" w:rsidP="004E2EFE">
      <w:pPr>
        <w:pStyle w:val="ListParagraph"/>
        <w:numPr>
          <w:ilvl w:val="0"/>
          <w:numId w:val="2"/>
        </w:numPr>
        <w:spacing w:after="0"/>
        <w:jc w:val="both"/>
        <w:rPr>
          <w:color w:val="000000" w:themeColor="text1"/>
        </w:rPr>
      </w:pPr>
      <w:r>
        <w:rPr>
          <w:b/>
          <w:color w:val="000000" w:themeColor="text1"/>
        </w:rPr>
        <w:t xml:space="preserve">D. Guidance, Step 5, Table 3 </w:t>
      </w:r>
      <w:r w:rsidRPr="00673D1D">
        <w:rPr>
          <w:b/>
          <w:color w:val="000000" w:themeColor="text1"/>
        </w:rPr>
        <w:t xml:space="preserve">(page </w:t>
      </w:r>
      <w:r>
        <w:rPr>
          <w:b/>
          <w:color w:val="000000" w:themeColor="text1"/>
        </w:rPr>
        <w:t>7</w:t>
      </w:r>
      <w:r w:rsidRPr="00673D1D">
        <w:rPr>
          <w:b/>
          <w:color w:val="000000" w:themeColor="text1"/>
        </w:rPr>
        <w:t>)</w:t>
      </w:r>
      <w:r w:rsidRPr="00673D1D">
        <w:rPr>
          <w:color w:val="000000" w:themeColor="text1"/>
        </w:rPr>
        <w:t xml:space="preserve"> –</w:t>
      </w:r>
      <w:r>
        <w:rPr>
          <w:color w:val="000000" w:themeColor="text1"/>
        </w:rPr>
        <w:t xml:space="preserve"> Please add two new rows to Table 3 that identify a sediment removal efficiency that is higher than 80% for a sediment basin with polymer and a sediment trap with polymer.  </w:t>
      </w:r>
    </w:p>
    <w:p w:rsidR="004E2EFE" w:rsidRPr="004E2EFE" w:rsidRDefault="004E2EFE" w:rsidP="004E2EFE">
      <w:pPr>
        <w:pStyle w:val="ListParagraph"/>
        <w:rPr>
          <w:color w:val="000000" w:themeColor="text1"/>
        </w:rPr>
      </w:pPr>
    </w:p>
    <w:p w:rsidR="004E2EFE" w:rsidRDefault="004E2EFE" w:rsidP="004E2EFE">
      <w:pPr>
        <w:pStyle w:val="ListParagraph"/>
        <w:numPr>
          <w:ilvl w:val="0"/>
          <w:numId w:val="2"/>
        </w:numPr>
        <w:spacing w:after="0"/>
        <w:jc w:val="both"/>
        <w:rPr>
          <w:color w:val="000000" w:themeColor="text1"/>
        </w:rPr>
      </w:pPr>
      <w:r>
        <w:rPr>
          <w:b/>
          <w:color w:val="000000" w:themeColor="text1"/>
        </w:rPr>
        <w:t xml:space="preserve">D. Guidance, Step 5, Table 3 </w:t>
      </w:r>
      <w:r w:rsidRPr="00673D1D">
        <w:rPr>
          <w:b/>
          <w:color w:val="000000" w:themeColor="text1"/>
        </w:rPr>
        <w:t xml:space="preserve">(page </w:t>
      </w:r>
      <w:r>
        <w:rPr>
          <w:b/>
          <w:color w:val="000000" w:themeColor="text1"/>
        </w:rPr>
        <w:t>7</w:t>
      </w:r>
      <w:r w:rsidRPr="00673D1D">
        <w:rPr>
          <w:b/>
          <w:color w:val="000000" w:themeColor="text1"/>
        </w:rPr>
        <w:t>)</w:t>
      </w:r>
      <w:r w:rsidRPr="00673D1D">
        <w:rPr>
          <w:color w:val="000000" w:themeColor="text1"/>
        </w:rPr>
        <w:t xml:space="preserve"> –</w:t>
      </w:r>
      <w:r>
        <w:rPr>
          <w:color w:val="000000" w:themeColor="text1"/>
        </w:rPr>
        <w:t xml:space="preserve"> In the last row, please delete the phrase “sediment trap” and “1063”.  Sediment traps are already </w:t>
      </w:r>
      <w:r w:rsidR="0047085B">
        <w:rPr>
          <w:color w:val="000000" w:themeColor="text1"/>
        </w:rPr>
        <w:t>identified</w:t>
      </w:r>
      <w:r>
        <w:rPr>
          <w:color w:val="000000" w:themeColor="text1"/>
        </w:rPr>
        <w:t xml:space="preserve"> in row two of Table 3.  Based on Table 3, a ditch check practice is rated at 30% sediment removal and a sediment trap is rated at 80% sediment removal.</w:t>
      </w:r>
      <w:r w:rsidR="005721E7">
        <w:rPr>
          <w:color w:val="000000" w:themeColor="text1"/>
        </w:rPr>
        <w:t xml:space="preserve">  In its current form, the last row </w:t>
      </w:r>
      <w:r w:rsidR="0047085B">
        <w:rPr>
          <w:color w:val="000000" w:themeColor="text1"/>
        </w:rPr>
        <w:t>contradicts the second row</w:t>
      </w:r>
      <w:r w:rsidR="005721E7">
        <w:rPr>
          <w:color w:val="000000" w:themeColor="text1"/>
        </w:rPr>
        <w:t>.</w:t>
      </w:r>
    </w:p>
    <w:p w:rsidR="004E2EFE" w:rsidRPr="00AB1AC2" w:rsidRDefault="004E2EFE" w:rsidP="004E2EFE">
      <w:pPr>
        <w:pStyle w:val="ListParagraph"/>
        <w:rPr>
          <w:color w:val="000000" w:themeColor="text1"/>
        </w:rPr>
      </w:pPr>
    </w:p>
    <w:p w:rsidR="00AB1AC2" w:rsidRPr="00AB1AC2" w:rsidRDefault="00AB1AC2" w:rsidP="00AB1AC2">
      <w:pPr>
        <w:pStyle w:val="ListParagraph"/>
        <w:rPr>
          <w:color w:val="000000" w:themeColor="text1"/>
        </w:rPr>
      </w:pPr>
    </w:p>
    <w:p w:rsidR="009D199C" w:rsidRDefault="009D199C" w:rsidP="009D199C">
      <w:pPr>
        <w:spacing w:after="0" w:line="288" w:lineRule="auto"/>
        <w:jc w:val="both"/>
        <w:rPr>
          <w:rFonts w:ascii="Arial" w:hAnsi="Arial" w:cs="Arial"/>
        </w:rPr>
      </w:pPr>
    </w:p>
    <w:p w:rsidR="009D199C" w:rsidRDefault="009D199C" w:rsidP="009D199C">
      <w:pPr>
        <w:spacing w:after="0" w:line="288" w:lineRule="auto"/>
        <w:jc w:val="both"/>
        <w:rPr>
          <w:rFonts w:ascii="Arial" w:hAnsi="Arial" w:cs="Arial"/>
        </w:rPr>
      </w:pPr>
    </w:p>
    <w:p w:rsidR="009D199C" w:rsidRPr="00E42F69" w:rsidRDefault="009D199C" w:rsidP="009D199C">
      <w:pPr>
        <w:spacing w:line="288" w:lineRule="auto"/>
        <w:jc w:val="both"/>
        <w:rPr>
          <w:rFonts w:ascii="Arial" w:hAnsi="Arial" w:cs="Arial"/>
        </w:rPr>
      </w:pPr>
      <w:r w:rsidRPr="00BF3BAB">
        <w:rPr>
          <w:rFonts w:ascii="Arial" w:hAnsi="Arial" w:cs="Arial"/>
          <w:sz w:val="14"/>
          <w:szCs w:val="14"/>
        </w:rPr>
        <w:fldChar w:fldCharType="begin"/>
      </w:r>
      <w:r w:rsidRPr="00BF3BAB">
        <w:rPr>
          <w:rFonts w:ascii="Arial" w:hAnsi="Arial" w:cs="Arial"/>
          <w:sz w:val="14"/>
          <w:szCs w:val="14"/>
        </w:rPr>
        <w:instrText xml:space="preserve"> FILENAME \p </w:instrText>
      </w:r>
      <w:r w:rsidRPr="00BF3BAB">
        <w:rPr>
          <w:rFonts w:ascii="Arial" w:hAnsi="Arial" w:cs="Arial"/>
          <w:sz w:val="14"/>
          <w:szCs w:val="14"/>
        </w:rPr>
        <w:fldChar w:fldCharType="separate"/>
      </w:r>
      <w:r w:rsidR="000A1FC7">
        <w:rPr>
          <w:rFonts w:ascii="Arial" w:hAnsi="Arial" w:cs="Arial"/>
          <w:noProof/>
          <w:sz w:val="14"/>
          <w:szCs w:val="14"/>
        </w:rPr>
        <w:t>C:\Data-nav\_NEWSC\Committee - R&amp;R\Public Comment\RUSLE2\Soil Loss Calculation Guidance 2015 April 9.docx</w:t>
      </w:r>
      <w:r w:rsidRPr="00BF3BAB">
        <w:rPr>
          <w:rFonts w:ascii="Arial" w:hAnsi="Arial" w:cs="Arial"/>
          <w:sz w:val="14"/>
          <w:szCs w:val="14"/>
        </w:rPr>
        <w:fldChar w:fldCharType="end"/>
      </w:r>
    </w:p>
    <w:p w:rsidR="009D199C" w:rsidRPr="009D199C" w:rsidRDefault="009D199C" w:rsidP="009D199C">
      <w:pPr>
        <w:spacing w:after="0" w:line="288" w:lineRule="auto"/>
        <w:jc w:val="both"/>
        <w:rPr>
          <w:rFonts w:ascii="Arial" w:hAnsi="Arial" w:cs="Arial"/>
        </w:rPr>
      </w:pPr>
    </w:p>
    <w:sectPr w:rsidR="009D199C" w:rsidRPr="009D1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F5033"/>
    <w:multiLevelType w:val="hybridMultilevel"/>
    <w:tmpl w:val="D43EC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377EC"/>
    <w:multiLevelType w:val="hybridMultilevel"/>
    <w:tmpl w:val="CF2080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CF6764"/>
    <w:multiLevelType w:val="hybridMultilevel"/>
    <w:tmpl w:val="4516F1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7954EBF"/>
    <w:multiLevelType w:val="hybridMultilevel"/>
    <w:tmpl w:val="582272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32"/>
    <w:rsid w:val="000121D7"/>
    <w:rsid w:val="00015FCB"/>
    <w:rsid w:val="000231C0"/>
    <w:rsid w:val="00030ADD"/>
    <w:rsid w:val="0003265C"/>
    <w:rsid w:val="00034D63"/>
    <w:rsid w:val="000412B2"/>
    <w:rsid w:val="000412FB"/>
    <w:rsid w:val="0005216C"/>
    <w:rsid w:val="000529C5"/>
    <w:rsid w:val="00054B1E"/>
    <w:rsid w:val="00054F3F"/>
    <w:rsid w:val="00055508"/>
    <w:rsid w:val="00057FCE"/>
    <w:rsid w:val="000816AB"/>
    <w:rsid w:val="00094C04"/>
    <w:rsid w:val="000A1FC7"/>
    <w:rsid w:val="000B5A5B"/>
    <w:rsid w:val="000C4B6E"/>
    <w:rsid w:val="000C4D0C"/>
    <w:rsid w:val="000C5A8F"/>
    <w:rsid w:val="00107581"/>
    <w:rsid w:val="00110DE8"/>
    <w:rsid w:val="0011426F"/>
    <w:rsid w:val="001372DE"/>
    <w:rsid w:val="00157BCE"/>
    <w:rsid w:val="00157CA2"/>
    <w:rsid w:val="00160616"/>
    <w:rsid w:val="001665ED"/>
    <w:rsid w:val="00172B0F"/>
    <w:rsid w:val="00177F3D"/>
    <w:rsid w:val="001843BC"/>
    <w:rsid w:val="001A71B2"/>
    <w:rsid w:val="001D3737"/>
    <w:rsid w:val="001D3CF8"/>
    <w:rsid w:val="001E2877"/>
    <w:rsid w:val="001E3286"/>
    <w:rsid w:val="001E53C5"/>
    <w:rsid w:val="001F12C7"/>
    <w:rsid w:val="002060AD"/>
    <w:rsid w:val="002314D7"/>
    <w:rsid w:val="002350B1"/>
    <w:rsid w:val="00237CC8"/>
    <w:rsid w:val="00240442"/>
    <w:rsid w:val="00241E7A"/>
    <w:rsid w:val="00241FC6"/>
    <w:rsid w:val="002433E1"/>
    <w:rsid w:val="00244859"/>
    <w:rsid w:val="00250457"/>
    <w:rsid w:val="00253F75"/>
    <w:rsid w:val="00287D09"/>
    <w:rsid w:val="002A00AE"/>
    <w:rsid w:val="002C55F8"/>
    <w:rsid w:val="002C68B5"/>
    <w:rsid w:val="002D1F8D"/>
    <w:rsid w:val="002D3A4F"/>
    <w:rsid w:val="002F0968"/>
    <w:rsid w:val="002F3FDB"/>
    <w:rsid w:val="002F44DB"/>
    <w:rsid w:val="002F4D5E"/>
    <w:rsid w:val="002F78F6"/>
    <w:rsid w:val="0030681A"/>
    <w:rsid w:val="0031575D"/>
    <w:rsid w:val="00322F53"/>
    <w:rsid w:val="0033224F"/>
    <w:rsid w:val="00346528"/>
    <w:rsid w:val="00350CA1"/>
    <w:rsid w:val="0035783F"/>
    <w:rsid w:val="00361A59"/>
    <w:rsid w:val="003768A1"/>
    <w:rsid w:val="00382506"/>
    <w:rsid w:val="00396DEC"/>
    <w:rsid w:val="003B7FB7"/>
    <w:rsid w:val="003C4C82"/>
    <w:rsid w:val="003D14E8"/>
    <w:rsid w:val="003D6A40"/>
    <w:rsid w:val="003E65C3"/>
    <w:rsid w:val="003F2ABF"/>
    <w:rsid w:val="003F3C27"/>
    <w:rsid w:val="0040070E"/>
    <w:rsid w:val="00404CB6"/>
    <w:rsid w:val="00410059"/>
    <w:rsid w:val="0042307F"/>
    <w:rsid w:val="004439CF"/>
    <w:rsid w:val="00465272"/>
    <w:rsid w:val="0047085B"/>
    <w:rsid w:val="00480596"/>
    <w:rsid w:val="004A092F"/>
    <w:rsid w:val="004A4A96"/>
    <w:rsid w:val="004B4169"/>
    <w:rsid w:val="004C0333"/>
    <w:rsid w:val="004D4924"/>
    <w:rsid w:val="004D791B"/>
    <w:rsid w:val="004E2EFE"/>
    <w:rsid w:val="004F2F08"/>
    <w:rsid w:val="004F3A42"/>
    <w:rsid w:val="004F50A5"/>
    <w:rsid w:val="004F7599"/>
    <w:rsid w:val="00504587"/>
    <w:rsid w:val="00510F9A"/>
    <w:rsid w:val="0052207F"/>
    <w:rsid w:val="00532A1E"/>
    <w:rsid w:val="00533FBF"/>
    <w:rsid w:val="0053651A"/>
    <w:rsid w:val="00542572"/>
    <w:rsid w:val="005469BF"/>
    <w:rsid w:val="005542C1"/>
    <w:rsid w:val="00556FAD"/>
    <w:rsid w:val="005641F2"/>
    <w:rsid w:val="005717EC"/>
    <w:rsid w:val="005721E7"/>
    <w:rsid w:val="00584499"/>
    <w:rsid w:val="005902C8"/>
    <w:rsid w:val="005948F1"/>
    <w:rsid w:val="005956BC"/>
    <w:rsid w:val="005A2AB2"/>
    <w:rsid w:val="005B5277"/>
    <w:rsid w:val="005B5D79"/>
    <w:rsid w:val="005B656A"/>
    <w:rsid w:val="005D024C"/>
    <w:rsid w:val="005D366C"/>
    <w:rsid w:val="005D54C4"/>
    <w:rsid w:val="005E3862"/>
    <w:rsid w:val="005E41DD"/>
    <w:rsid w:val="005F6D17"/>
    <w:rsid w:val="00614E8E"/>
    <w:rsid w:val="00631A7C"/>
    <w:rsid w:val="0063519F"/>
    <w:rsid w:val="0064036C"/>
    <w:rsid w:val="00646BBB"/>
    <w:rsid w:val="00665998"/>
    <w:rsid w:val="00673D1D"/>
    <w:rsid w:val="00680297"/>
    <w:rsid w:val="00687239"/>
    <w:rsid w:val="006A3CBF"/>
    <w:rsid w:val="006B3773"/>
    <w:rsid w:val="006B5492"/>
    <w:rsid w:val="006C0194"/>
    <w:rsid w:val="006D469C"/>
    <w:rsid w:val="006F1578"/>
    <w:rsid w:val="006F4FEE"/>
    <w:rsid w:val="007100DF"/>
    <w:rsid w:val="00723F69"/>
    <w:rsid w:val="00724ED8"/>
    <w:rsid w:val="00731690"/>
    <w:rsid w:val="0074211F"/>
    <w:rsid w:val="00754D6C"/>
    <w:rsid w:val="0075742B"/>
    <w:rsid w:val="00761C48"/>
    <w:rsid w:val="00762657"/>
    <w:rsid w:val="007855F4"/>
    <w:rsid w:val="0079145D"/>
    <w:rsid w:val="00791A18"/>
    <w:rsid w:val="007A6699"/>
    <w:rsid w:val="007B200B"/>
    <w:rsid w:val="007C065E"/>
    <w:rsid w:val="007C3401"/>
    <w:rsid w:val="007D082A"/>
    <w:rsid w:val="007E1449"/>
    <w:rsid w:val="007E1979"/>
    <w:rsid w:val="007E5158"/>
    <w:rsid w:val="007E62A8"/>
    <w:rsid w:val="007F3FDC"/>
    <w:rsid w:val="007F7271"/>
    <w:rsid w:val="00804697"/>
    <w:rsid w:val="0081086B"/>
    <w:rsid w:val="00811125"/>
    <w:rsid w:val="0081364E"/>
    <w:rsid w:val="008227D3"/>
    <w:rsid w:val="00822A1E"/>
    <w:rsid w:val="00825D4D"/>
    <w:rsid w:val="008439A7"/>
    <w:rsid w:val="0084640B"/>
    <w:rsid w:val="008524AD"/>
    <w:rsid w:val="0085321A"/>
    <w:rsid w:val="00853B11"/>
    <w:rsid w:val="00857813"/>
    <w:rsid w:val="008863C7"/>
    <w:rsid w:val="0089393F"/>
    <w:rsid w:val="00893AB5"/>
    <w:rsid w:val="00895835"/>
    <w:rsid w:val="008B0732"/>
    <w:rsid w:val="008B2DE5"/>
    <w:rsid w:val="008C212E"/>
    <w:rsid w:val="008C2AED"/>
    <w:rsid w:val="008F2C5C"/>
    <w:rsid w:val="008F34A7"/>
    <w:rsid w:val="009151E9"/>
    <w:rsid w:val="00915A1A"/>
    <w:rsid w:val="00916DE7"/>
    <w:rsid w:val="00922B6C"/>
    <w:rsid w:val="009239FA"/>
    <w:rsid w:val="009363F3"/>
    <w:rsid w:val="00940890"/>
    <w:rsid w:val="0094231F"/>
    <w:rsid w:val="0094234E"/>
    <w:rsid w:val="009441F2"/>
    <w:rsid w:val="009637F2"/>
    <w:rsid w:val="00977BA8"/>
    <w:rsid w:val="0098141D"/>
    <w:rsid w:val="00991999"/>
    <w:rsid w:val="00992E76"/>
    <w:rsid w:val="0099773A"/>
    <w:rsid w:val="009A2104"/>
    <w:rsid w:val="009A7ACD"/>
    <w:rsid w:val="009C1F6C"/>
    <w:rsid w:val="009D199C"/>
    <w:rsid w:val="009D397B"/>
    <w:rsid w:val="009F5C6C"/>
    <w:rsid w:val="00A0023D"/>
    <w:rsid w:val="00A00E41"/>
    <w:rsid w:val="00A01D9A"/>
    <w:rsid w:val="00A032C1"/>
    <w:rsid w:val="00A06CF5"/>
    <w:rsid w:val="00A07B6B"/>
    <w:rsid w:val="00A123E1"/>
    <w:rsid w:val="00A243D2"/>
    <w:rsid w:val="00A310B0"/>
    <w:rsid w:val="00A4182D"/>
    <w:rsid w:val="00A43D49"/>
    <w:rsid w:val="00A4556F"/>
    <w:rsid w:val="00A57F66"/>
    <w:rsid w:val="00A6193C"/>
    <w:rsid w:val="00A62A10"/>
    <w:rsid w:val="00A62E67"/>
    <w:rsid w:val="00A669CD"/>
    <w:rsid w:val="00A73B41"/>
    <w:rsid w:val="00A838D5"/>
    <w:rsid w:val="00A863A0"/>
    <w:rsid w:val="00AA1380"/>
    <w:rsid w:val="00AA390E"/>
    <w:rsid w:val="00AB1AC2"/>
    <w:rsid w:val="00AB331B"/>
    <w:rsid w:val="00AB6C79"/>
    <w:rsid w:val="00AC484F"/>
    <w:rsid w:val="00AC6704"/>
    <w:rsid w:val="00AD37BA"/>
    <w:rsid w:val="00AD472C"/>
    <w:rsid w:val="00AE1185"/>
    <w:rsid w:val="00AE1354"/>
    <w:rsid w:val="00AE5783"/>
    <w:rsid w:val="00AE5B56"/>
    <w:rsid w:val="00AE7426"/>
    <w:rsid w:val="00B04CE4"/>
    <w:rsid w:val="00B066E2"/>
    <w:rsid w:val="00B07BFA"/>
    <w:rsid w:val="00B10561"/>
    <w:rsid w:val="00B15BD0"/>
    <w:rsid w:val="00B26338"/>
    <w:rsid w:val="00B2799C"/>
    <w:rsid w:val="00B30526"/>
    <w:rsid w:val="00B378E6"/>
    <w:rsid w:val="00B40C77"/>
    <w:rsid w:val="00B6658B"/>
    <w:rsid w:val="00B80174"/>
    <w:rsid w:val="00B91876"/>
    <w:rsid w:val="00B93FE9"/>
    <w:rsid w:val="00B953F4"/>
    <w:rsid w:val="00BB7565"/>
    <w:rsid w:val="00BC21B2"/>
    <w:rsid w:val="00BC3FC8"/>
    <w:rsid w:val="00BD2881"/>
    <w:rsid w:val="00BF3163"/>
    <w:rsid w:val="00BF365A"/>
    <w:rsid w:val="00BF46A0"/>
    <w:rsid w:val="00C0177E"/>
    <w:rsid w:val="00C02D69"/>
    <w:rsid w:val="00C0429F"/>
    <w:rsid w:val="00C11560"/>
    <w:rsid w:val="00C13EE4"/>
    <w:rsid w:val="00C26031"/>
    <w:rsid w:val="00C314F2"/>
    <w:rsid w:val="00C41D58"/>
    <w:rsid w:val="00C42FB9"/>
    <w:rsid w:val="00C45C8D"/>
    <w:rsid w:val="00C45DC9"/>
    <w:rsid w:val="00C92014"/>
    <w:rsid w:val="00C96358"/>
    <w:rsid w:val="00CA1167"/>
    <w:rsid w:val="00CB386F"/>
    <w:rsid w:val="00CC71D0"/>
    <w:rsid w:val="00CD13B7"/>
    <w:rsid w:val="00CE1919"/>
    <w:rsid w:val="00CF646A"/>
    <w:rsid w:val="00CF7DB1"/>
    <w:rsid w:val="00D01662"/>
    <w:rsid w:val="00D22272"/>
    <w:rsid w:val="00D24AB1"/>
    <w:rsid w:val="00D26852"/>
    <w:rsid w:val="00D30CB4"/>
    <w:rsid w:val="00D37949"/>
    <w:rsid w:val="00D42CE1"/>
    <w:rsid w:val="00D53792"/>
    <w:rsid w:val="00D5479E"/>
    <w:rsid w:val="00D7402E"/>
    <w:rsid w:val="00D86BAD"/>
    <w:rsid w:val="00DA2D41"/>
    <w:rsid w:val="00DA59CD"/>
    <w:rsid w:val="00DB5027"/>
    <w:rsid w:val="00DC7A7D"/>
    <w:rsid w:val="00DD15C7"/>
    <w:rsid w:val="00DD55AB"/>
    <w:rsid w:val="00E058FE"/>
    <w:rsid w:val="00E1259D"/>
    <w:rsid w:val="00E13CD0"/>
    <w:rsid w:val="00E17789"/>
    <w:rsid w:val="00E2016C"/>
    <w:rsid w:val="00E20E50"/>
    <w:rsid w:val="00E21D8D"/>
    <w:rsid w:val="00E252A2"/>
    <w:rsid w:val="00E31E09"/>
    <w:rsid w:val="00E420FB"/>
    <w:rsid w:val="00E42F69"/>
    <w:rsid w:val="00E5555E"/>
    <w:rsid w:val="00E64E89"/>
    <w:rsid w:val="00E86E29"/>
    <w:rsid w:val="00EA2F69"/>
    <w:rsid w:val="00EC7D0A"/>
    <w:rsid w:val="00ED65C7"/>
    <w:rsid w:val="00EF711D"/>
    <w:rsid w:val="00F04CC3"/>
    <w:rsid w:val="00F15640"/>
    <w:rsid w:val="00F16FA9"/>
    <w:rsid w:val="00F21946"/>
    <w:rsid w:val="00F22E79"/>
    <w:rsid w:val="00F2605F"/>
    <w:rsid w:val="00F614A6"/>
    <w:rsid w:val="00F712AE"/>
    <w:rsid w:val="00F71706"/>
    <w:rsid w:val="00F7264F"/>
    <w:rsid w:val="00F77BBB"/>
    <w:rsid w:val="00F92637"/>
    <w:rsid w:val="00F946F6"/>
    <w:rsid w:val="00F97450"/>
    <w:rsid w:val="00FA02F7"/>
    <w:rsid w:val="00FC156C"/>
    <w:rsid w:val="00FC59F4"/>
    <w:rsid w:val="00FD020D"/>
    <w:rsid w:val="00FD4431"/>
    <w:rsid w:val="00FE0791"/>
    <w:rsid w:val="00FF1023"/>
    <w:rsid w:val="00FF43F1"/>
    <w:rsid w:val="00FF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19692-199C-433F-B183-C1F61478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0A5"/>
    <w:rPr>
      <w:rFonts w:ascii="Tahoma" w:hAnsi="Tahoma" w:cs="Tahoma"/>
      <w:sz w:val="16"/>
      <w:szCs w:val="16"/>
    </w:rPr>
  </w:style>
  <w:style w:type="paragraph" w:styleId="ListParagraph">
    <w:name w:val="List Paragraph"/>
    <w:basedOn w:val="Normal"/>
    <w:uiPriority w:val="34"/>
    <w:qFormat/>
    <w:rsid w:val="00AE1185"/>
    <w:pPr>
      <w:ind w:left="720"/>
      <w:contextualSpacing/>
    </w:pPr>
  </w:style>
  <w:style w:type="table" w:styleId="TableGrid">
    <w:name w:val="Table Grid"/>
    <w:basedOn w:val="TableNormal"/>
    <w:uiPriority w:val="59"/>
    <w:rsid w:val="002A0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963D7-10D2-4769-A524-BDA39C47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MCM</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Vande Hey</dc:creator>
  <cp:lastModifiedBy>Jessica Schultz</cp:lastModifiedBy>
  <cp:revision>2</cp:revision>
  <dcterms:created xsi:type="dcterms:W3CDTF">2015-04-09T15:18:00Z</dcterms:created>
  <dcterms:modified xsi:type="dcterms:W3CDTF">2015-04-09T15:18:00Z</dcterms:modified>
</cp:coreProperties>
</file>