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44"/>
        <w:gridCol w:w="6916"/>
      </w:tblGrid>
      <w:tr w:rsidR="002A00AE" w:rsidTr="00A838D5">
        <w:tc>
          <w:tcPr>
            <w:tcW w:w="2448" w:type="dxa"/>
          </w:tcPr>
          <w:p w:rsidR="002A00AE" w:rsidRDefault="002A00AE" w:rsidP="002A00AE">
            <w:pPr>
              <w:rPr>
                <w:rFonts w:cstheme="minorHAnsi"/>
                <w:b/>
                <w:color w:val="000000" w:themeColor="text1"/>
                <w:sz w:val="24"/>
                <w:szCs w:val="24"/>
              </w:rPr>
            </w:pPr>
            <w:r w:rsidRPr="002A00AE">
              <w:rPr>
                <w:rFonts w:cstheme="minorHAnsi"/>
                <w:b/>
                <w:noProof/>
                <w:color w:val="000000" w:themeColor="text1"/>
                <w:sz w:val="24"/>
                <w:szCs w:val="24"/>
              </w:rPr>
              <w:drawing>
                <wp:inline distT="0" distB="0" distL="0" distR="0" wp14:anchorId="4E4F9162" wp14:editId="5D89311F">
                  <wp:extent cx="1285875" cy="1071174"/>
                  <wp:effectExtent l="0" t="0" r="0" b="0"/>
                  <wp:docPr id="14" name="Picture 2" descr="W:\USERS\NVandehey\NEWSC\NEWSC-spelled out-colo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descr="W:\USERS\NVandehey\NEWSC\NEWSC-spelled out-colore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7661" cy="1072661"/>
                          </a:xfrm>
                          <a:prstGeom prst="rect">
                            <a:avLst/>
                          </a:prstGeom>
                          <a:noFill/>
                          <a:extLst/>
                        </pic:spPr>
                      </pic:pic>
                    </a:graphicData>
                  </a:graphic>
                </wp:inline>
              </w:drawing>
            </w:r>
          </w:p>
        </w:tc>
        <w:tc>
          <w:tcPr>
            <w:tcW w:w="7020" w:type="dxa"/>
          </w:tcPr>
          <w:p w:rsidR="002A00AE" w:rsidRPr="002A00AE" w:rsidRDefault="002A00AE" w:rsidP="002A00AE">
            <w:pPr>
              <w:jc w:val="right"/>
              <w:rPr>
                <w:rFonts w:cstheme="minorHAnsi"/>
                <w:b/>
                <w:sz w:val="28"/>
                <w:szCs w:val="28"/>
              </w:rPr>
            </w:pPr>
            <w:r w:rsidRPr="002A00AE">
              <w:rPr>
                <w:rFonts w:cstheme="minorHAnsi"/>
                <w:b/>
                <w:color w:val="000000" w:themeColor="text1"/>
                <w:sz w:val="28"/>
                <w:szCs w:val="28"/>
              </w:rPr>
              <w:t>Comments</w:t>
            </w:r>
            <w:r w:rsidR="00A838D5">
              <w:rPr>
                <w:rFonts w:cstheme="minorHAnsi"/>
                <w:b/>
                <w:color w:val="000000" w:themeColor="text1"/>
                <w:sz w:val="28"/>
                <w:szCs w:val="28"/>
              </w:rPr>
              <w:t xml:space="preserve"> to WDNR</w:t>
            </w:r>
          </w:p>
          <w:p w:rsidR="002A00AE" w:rsidRPr="002A00AE" w:rsidRDefault="001372DE" w:rsidP="002A00AE">
            <w:pPr>
              <w:jc w:val="right"/>
              <w:rPr>
                <w:rFonts w:cstheme="minorHAnsi"/>
                <w:b/>
                <w:color w:val="000000" w:themeColor="text1"/>
                <w:sz w:val="28"/>
                <w:szCs w:val="28"/>
              </w:rPr>
            </w:pPr>
            <w:r>
              <w:rPr>
                <w:rFonts w:cstheme="minorHAnsi"/>
                <w:b/>
                <w:sz w:val="28"/>
                <w:szCs w:val="28"/>
              </w:rPr>
              <w:t xml:space="preserve">Establishment of Protective Areas for Wetlands </w:t>
            </w:r>
            <w:r w:rsidR="00A838D5">
              <w:rPr>
                <w:rFonts w:cstheme="minorHAnsi"/>
                <w:b/>
                <w:sz w:val="28"/>
                <w:szCs w:val="28"/>
              </w:rPr>
              <w:t>Guidance</w:t>
            </w:r>
            <w:r w:rsidR="002A00AE" w:rsidRPr="002A00AE">
              <w:rPr>
                <w:rFonts w:cstheme="minorHAnsi"/>
                <w:b/>
                <w:color w:val="000000" w:themeColor="text1"/>
                <w:sz w:val="28"/>
                <w:szCs w:val="28"/>
              </w:rPr>
              <w:t xml:space="preserve"> </w:t>
            </w:r>
          </w:p>
          <w:p w:rsidR="002A00AE" w:rsidRPr="002A00AE" w:rsidRDefault="002A00AE" w:rsidP="002A00AE">
            <w:pPr>
              <w:jc w:val="right"/>
              <w:rPr>
                <w:rFonts w:cstheme="minorHAnsi"/>
                <w:b/>
                <w:color w:val="000000" w:themeColor="text1"/>
                <w:sz w:val="28"/>
                <w:szCs w:val="28"/>
              </w:rPr>
            </w:pPr>
            <w:r w:rsidRPr="002A00AE">
              <w:rPr>
                <w:rFonts w:cstheme="minorHAnsi"/>
                <w:b/>
                <w:color w:val="000000" w:themeColor="text1"/>
                <w:sz w:val="28"/>
                <w:szCs w:val="28"/>
              </w:rPr>
              <w:t>NEWSC Rules &amp; Regulations Committee</w:t>
            </w:r>
          </w:p>
          <w:p w:rsidR="002A00AE" w:rsidRPr="002A00AE" w:rsidRDefault="00D01662" w:rsidP="00054F3F">
            <w:pPr>
              <w:jc w:val="right"/>
              <w:rPr>
                <w:rFonts w:cstheme="minorHAnsi"/>
                <w:b/>
                <w:sz w:val="28"/>
                <w:szCs w:val="28"/>
              </w:rPr>
            </w:pPr>
            <w:r>
              <w:rPr>
                <w:rFonts w:cstheme="minorHAnsi"/>
                <w:b/>
                <w:sz w:val="28"/>
                <w:szCs w:val="28"/>
              </w:rPr>
              <w:t xml:space="preserve">February </w:t>
            </w:r>
            <w:r w:rsidR="00054F3F">
              <w:rPr>
                <w:rFonts w:cstheme="minorHAnsi"/>
                <w:b/>
                <w:sz w:val="28"/>
                <w:szCs w:val="28"/>
              </w:rPr>
              <w:t>4</w:t>
            </w:r>
            <w:r w:rsidR="00A838D5">
              <w:rPr>
                <w:rFonts w:cstheme="minorHAnsi"/>
                <w:b/>
                <w:sz w:val="28"/>
                <w:szCs w:val="28"/>
              </w:rPr>
              <w:t>, 2015</w:t>
            </w:r>
          </w:p>
        </w:tc>
      </w:tr>
    </w:tbl>
    <w:p w:rsidR="004F50A5" w:rsidRDefault="004F50A5" w:rsidP="00BD1E38">
      <w:pPr>
        <w:spacing w:after="120"/>
        <w:rPr>
          <w:rFonts w:cstheme="minorHAnsi"/>
          <w:b/>
          <w:color w:val="000000" w:themeColor="text1"/>
        </w:rPr>
      </w:pPr>
    </w:p>
    <w:p w:rsidR="00BD1E38" w:rsidRDefault="00BD1E38" w:rsidP="00BD1E38">
      <w:pPr>
        <w:spacing w:after="240"/>
        <w:jc w:val="both"/>
        <w:rPr>
          <w:color w:val="000000"/>
        </w:rPr>
      </w:pPr>
      <w:r>
        <w:rPr>
          <w:color w:val="000000"/>
        </w:rPr>
        <w:t>February 10, 2015</w:t>
      </w:r>
    </w:p>
    <w:p w:rsidR="00BD1E38" w:rsidRDefault="00BD1E38" w:rsidP="00BD1E38">
      <w:pPr>
        <w:spacing w:after="240"/>
        <w:jc w:val="both"/>
        <w:rPr>
          <w:color w:val="000000"/>
        </w:rPr>
      </w:pPr>
      <w:r>
        <w:rPr>
          <w:color w:val="000000"/>
        </w:rPr>
        <w:t xml:space="preserve">Please consider the comments below developed by the members of the Northeast Wisconsin Stormwater Consortium when finalizing the proposed </w:t>
      </w:r>
      <w:r>
        <w:rPr>
          <w:color w:val="000000"/>
        </w:rPr>
        <w:t>Establishment of Protective Areas for Wetlands Guidance</w:t>
      </w:r>
      <w:r>
        <w:rPr>
          <w:color w:val="000000"/>
        </w:rPr>
        <w:t>.</w:t>
      </w:r>
    </w:p>
    <w:p w:rsidR="00BD1E38" w:rsidRPr="00533FBF" w:rsidRDefault="00BD1E38" w:rsidP="00BD1E38">
      <w:pPr>
        <w:spacing w:after="120"/>
        <w:rPr>
          <w:rFonts w:cstheme="minorHAnsi"/>
          <w:b/>
          <w:color w:val="000000" w:themeColor="text1"/>
        </w:rPr>
      </w:pPr>
    </w:p>
    <w:p w:rsidR="00C11560" w:rsidRDefault="001E3286" w:rsidP="00FA02F7">
      <w:pPr>
        <w:pStyle w:val="ListParagraph"/>
        <w:numPr>
          <w:ilvl w:val="0"/>
          <w:numId w:val="2"/>
        </w:numPr>
        <w:spacing w:after="0"/>
        <w:jc w:val="both"/>
        <w:rPr>
          <w:color w:val="000000" w:themeColor="text1"/>
        </w:rPr>
      </w:pPr>
      <w:r>
        <w:rPr>
          <w:b/>
          <w:color w:val="000000" w:themeColor="text1"/>
        </w:rPr>
        <w:t>Less Susceptible</w:t>
      </w:r>
      <w:r w:rsidRPr="00673D1D">
        <w:rPr>
          <w:b/>
          <w:color w:val="000000" w:themeColor="text1"/>
        </w:rPr>
        <w:t xml:space="preserve"> (page </w:t>
      </w:r>
      <w:r>
        <w:rPr>
          <w:b/>
          <w:color w:val="000000" w:themeColor="text1"/>
        </w:rPr>
        <w:t>4</w:t>
      </w:r>
      <w:r w:rsidRPr="00673D1D">
        <w:rPr>
          <w:b/>
          <w:color w:val="000000" w:themeColor="text1"/>
        </w:rPr>
        <w:t>)</w:t>
      </w:r>
      <w:r w:rsidRPr="00673D1D">
        <w:rPr>
          <w:color w:val="000000" w:themeColor="text1"/>
        </w:rPr>
        <w:t xml:space="preserve"> – </w:t>
      </w:r>
      <w:r>
        <w:rPr>
          <w:color w:val="000000" w:themeColor="text1"/>
        </w:rPr>
        <w:t xml:space="preserve">Please modify the fourth sentence of the first paragraph as follows:  “A wetland is considered to be dominated by invasive species if it </w:t>
      </w:r>
      <w:r w:rsidR="00C11560">
        <w:rPr>
          <w:color w:val="000000" w:themeColor="text1"/>
        </w:rPr>
        <w:t xml:space="preserve">currently </w:t>
      </w:r>
      <w:r>
        <w:rPr>
          <w:color w:val="000000" w:themeColor="text1"/>
        </w:rPr>
        <w:t xml:space="preserve">contains more than 50 percent invasive species, as measured by absolute </w:t>
      </w:r>
      <w:r w:rsidR="005B656A">
        <w:rPr>
          <w:color w:val="000000" w:themeColor="text1"/>
        </w:rPr>
        <w:t>vegetative cover</w:t>
      </w:r>
      <w:r>
        <w:rPr>
          <w:color w:val="000000" w:themeColor="text1"/>
        </w:rPr>
        <w:t xml:space="preserve">.”  </w:t>
      </w:r>
      <w:r w:rsidR="005B656A">
        <w:rPr>
          <w:color w:val="000000" w:themeColor="text1"/>
        </w:rPr>
        <w:t xml:space="preserve">By definition, a dominant species has a controlling influence or defines the character of a wetland community according to US Army Corps of Engineers Wetland Delineation Manual, 1987.  </w:t>
      </w:r>
      <w:r>
        <w:rPr>
          <w:color w:val="000000" w:themeColor="text1"/>
        </w:rPr>
        <w:t xml:space="preserve">50 percent </w:t>
      </w:r>
      <w:r w:rsidR="00BF365A">
        <w:rPr>
          <w:color w:val="000000" w:themeColor="text1"/>
        </w:rPr>
        <w:t>is a</w:t>
      </w:r>
      <w:r>
        <w:rPr>
          <w:color w:val="000000" w:themeColor="text1"/>
        </w:rPr>
        <w:t xml:space="preserve"> </w:t>
      </w:r>
      <w:r w:rsidR="00BC21B2">
        <w:rPr>
          <w:color w:val="000000" w:themeColor="text1"/>
        </w:rPr>
        <w:t xml:space="preserve">significant </w:t>
      </w:r>
      <w:r>
        <w:rPr>
          <w:color w:val="000000" w:themeColor="text1"/>
        </w:rPr>
        <w:t>majority</w:t>
      </w:r>
      <w:r w:rsidR="00BC21B2">
        <w:rPr>
          <w:color w:val="000000" w:themeColor="text1"/>
        </w:rPr>
        <w:t xml:space="preserve"> and </w:t>
      </w:r>
      <w:r w:rsidR="005B656A">
        <w:rPr>
          <w:color w:val="000000" w:themeColor="text1"/>
        </w:rPr>
        <w:t>reasonabl</w:t>
      </w:r>
      <w:r w:rsidR="001F12C7">
        <w:rPr>
          <w:color w:val="000000" w:themeColor="text1"/>
        </w:rPr>
        <w:t>y</w:t>
      </w:r>
      <w:r w:rsidR="005B656A">
        <w:rPr>
          <w:color w:val="000000" w:themeColor="text1"/>
        </w:rPr>
        <w:t xml:space="preserve"> </w:t>
      </w:r>
      <w:r w:rsidR="00BC21B2">
        <w:rPr>
          <w:color w:val="000000" w:themeColor="text1"/>
        </w:rPr>
        <w:t>fits the definition of “dominate</w:t>
      </w:r>
      <w:r w:rsidR="005B656A">
        <w:rPr>
          <w:color w:val="000000" w:themeColor="text1"/>
        </w:rPr>
        <w:t>d</w:t>
      </w:r>
      <w:r w:rsidR="00BC21B2">
        <w:rPr>
          <w:color w:val="000000" w:themeColor="text1"/>
        </w:rPr>
        <w:t>”</w:t>
      </w:r>
      <w:r>
        <w:rPr>
          <w:color w:val="000000" w:themeColor="text1"/>
        </w:rPr>
        <w:t xml:space="preserve">.  </w:t>
      </w:r>
      <w:r w:rsidR="00BF365A">
        <w:rPr>
          <w:color w:val="000000" w:themeColor="text1"/>
        </w:rPr>
        <w:t>Without active eradication</w:t>
      </w:r>
      <w:r w:rsidR="00FA02F7">
        <w:rPr>
          <w:color w:val="000000" w:themeColor="text1"/>
        </w:rPr>
        <w:t xml:space="preserve"> or control</w:t>
      </w:r>
      <w:r w:rsidR="00BF365A">
        <w:rPr>
          <w:color w:val="000000" w:themeColor="text1"/>
        </w:rPr>
        <w:t xml:space="preserve">, a wetland with more than 50 percent invasive species is likely to </w:t>
      </w:r>
      <w:r w:rsidR="00FA02F7">
        <w:rPr>
          <w:color w:val="000000" w:themeColor="text1"/>
        </w:rPr>
        <w:t xml:space="preserve">further degrade </w:t>
      </w:r>
      <w:r w:rsidR="00CB386F">
        <w:rPr>
          <w:color w:val="000000" w:themeColor="text1"/>
        </w:rPr>
        <w:t xml:space="preserve">in the future </w:t>
      </w:r>
      <w:r w:rsidR="00FA02F7">
        <w:rPr>
          <w:color w:val="000000" w:themeColor="text1"/>
        </w:rPr>
        <w:t>via the spread of invasive species such as</w:t>
      </w:r>
      <w:r w:rsidR="00FA02F7" w:rsidRPr="00FA02F7">
        <w:t xml:space="preserve"> </w:t>
      </w:r>
      <w:r w:rsidR="005B656A">
        <w:t xml:space="preserve">reed canary grass, </w:t>
      </w:r>
      <w:r w:rsidR="00FA02F7">
        <w:rPr>
          <w:color w:val="000000" w:themeColor="text1"/>
        </w:rPr>
        <w:t>p</w:t>
      </w:r>
      <w:r w:rsidR="00FA02F7" w:rsidRPr="00FA02F7">
        <w:rPr>
          <w:color w:val="000000" w:themeColor="text1"/>
        </w:rPr>
        <w:t>urple loosestrife</w:t>
      </w:r>
      <w:r w:rsidR="00FA02F7">
        <w:rPr>
          <w:color w:val="000000" w:themeColor="text1"/>
        </w:rPr>
        <w:t xml:space="preserve">, </w:t>
      </w:r>
      <w:proofErr w:type="spellStart"/>
      <w:r w:rsidR="00FA02F7">
        <w:rPr>
          <w:color w:val="000000" w:themeColor="text1"/>
        </w:rPr>
        <w:t>p</w:t>
      </w:r>
      <w:r w:rsidR="00FA02F7" w:rsidRPr="00FA02F7">
        <w:rPr>
          <w:color w:val="000000" w:themeColor="text1"/>
        </w:rPr>
        <w:t>hragmites</w:t>
      </w:r>
      <w:proofErr w:type="spellEnd"/>
      <w:r w:rsidR="00FA02F7">
        <w:rPr>
          <w:color w:val="000000" w:themeColor="text1"/>
        </w:rPr>
        <w:t>, and n</w:t>
      </w:r>
      <w:r w:rsidR="00FA02F7" w:rsidRPr="00FA02F7">
        <w:rPr>
          <w:color w:val="000000" w:themeColor="text1"/>
        </w:rPr>
        <w:t>arrow−leaf cattail</w:t>
      </w:r>
      <w:r w:rsidR="00FA02F7">
        <w:rPr>
          <w:color w:val="000000" w:themeColor="text1"/>
        </w:rPr>
        <w:t xml:space="preserve"> (refer to list of </w:t>
      </w:r>
      <w:r w:rsidR="009A7ACD">
        <w:rPr>
          <w:color w:val="000000" w:themeColor="text1"/>
        </w:rPr>
        <w:t xml:space="preserve">other potential </w:t>
      </w:r>
      <w:r w:rsidR="00FA02F7">
        <w:rPr>
          <w:color w:val="000000" w:themeColor="text1"/>
        </w:rPr>
        <w:t xml:space="preserve">invasive species within NR 40).  A wider </w:t>
      </w:r>
      <w:r w:rsidR="00BF365A">
        <w:rPr>
          <w:color w:val="000000" w:themeColor="text1"/>
        </w:rPr>
        <w:t xml:space="preserve">protective area </w:t>
      </w:r>
      <w:r w:rsidR="00AC6704">
        <w:rPr>
          <w:color w:val="000000" w:themeColor="text1"/>
        </w:rPr>
        <w:t>is not anticipated to</w:t>
      </w:r>
      <w:r w:rsidR="00BF365A">
        <w:rPr>
          <w:color w:val="000000" w:themeColor="text1"/>
        </w:rPr>
        <w:t xml:space="preserve"> </w:t>
      </w:r>
      <w:r w:rsidR="00FA02F7">
        <w:rPr>
          <w:color w:val="000000" w:themeColor="text1"/>
        </w:rPr>
        <w:t xml:space="preserve">control or </w:t>
      </w:r>
      <w:r w:rsidR="00BF365A">
        <w:rPr>
          <w:color w:val="000000" w:themeColor="text1"/>
        </w:rPr>
        <w:t>reduce the spread of invasive species within an unmanaged wetland.  NR 151 does not require that invasive species be eradicated or managed</w:t>
      </w:r>
      <w:r w:rsidR="0031575D">
        <w:rPr>
          <w:color w:val="000000" w:themeColor="text1"/>
        </w:rPr>
        <w:t xml:space="preserve"> within a wetland</w:t>
      </w:r>
      <w:r w:rsidR="00BF365A">
        <w:rPr>
          <w:color w:val="000000" w:themeColor="text1"/>
        </w:rPr>
        <w:t xml:space="preserve">.  </w:t>
      </w:r>
    </w:p>
    <w:p w:rsidR="00C11560" w:rsidRDefault="00C11560" w:rsidP="00C11560">
      <w:pPr>
        <w:pStyle w:val="ListParagraph"/>
        <w:spacing w:after="0"/>
        <w:jc w:val="both"/>
        <w:rPr>
          <w:b/>
          <w:color w:val="000000" w:themeColor="text1"/>
        </w:rPr>
      </w:pPr>
    </w:p>
    <w:p w:rsidR="0031575D" w:rsidRDefault="00BF365A" w:rsidP="00C11560">
      <w:pPr>
        <w:pStyle w:val="ListParagraph"/>
        <w:spacing w:after="0"/>
        <w:jc w:val="both"/>
        <w:rPr>
          <w:color w:val="000000" w:themeColor="text1"/>
        </w:rPr>
      </w:pPr>
      <w:r>
        <w:rPr>
          <w:color w:val="000000" w:themeColor="text1"/>
        </w:rPr>
        <w:t xml:space="preserve">Please </w:t>
      </w:r>
      <w:r w:rsidR="00C96358">
        <w:rPr>
          <w:color w:val="000000" w:themeColor="text1"/>
        </w:rPr>
        <w:t>cite</w:t>
      </w:r>
      <w:r>
        <w:rPr>
          <w:color w:val="000000" w:themeColor="text1"/>
        </w:rPr>
        <w:t xml:space="preserve"> the scientific data relied upon by DNR </w:t>
      </w:r>
      <w:r w:rsidR="00F712AE">
        <w:rPr>
          <w:color w:val="000000" w:themeColor="text1"/>
        </w:rPr>
        <w:t xml:space="preserve">to establish </w:t>
      </w:r>
      <w:r w:rsidR="00C96358">
        <w:rPr>
          <w:color w:val="000000" w:themeColor="text1"/>
        </w:rPr>
        <w:t>the 90 percent value</w:t>
      </w:r>
      <w:r w:rsidR="00F712AE">
        <w:rPr>
          <w:color w:val="000000" w:themeColor="text1"/>
        </w:rPr>
        <w:t xml:space="preserve"> identified in the guidance document</w:t>
      </w:r>
      <w:r w:rsidR="00C96358">
        <w:rPr>
          <w:color w:val="000000" w:themeColor="text1"/>
        </w:rPr>
        <w:t xml:space="preserve">.  </w:t>
      </w:r>
      <w:r w:rsidR="001E3286">
        <w:rPr>
          <w:color w:val="000000" w:themeColor="text1"/>
        </w:rPr>
        <w:t xml:space="preserve">NR 151 is a water quality regulation, not </w:t>
      </w:r>
      <w:r>
        <w:rPr>
          <w:color w:val="000000" w:themeColor="text1"/>
        </w:rPr>
        <w:t xml:space="preserve">an invasive species </w:t>
      </w:r>
      <w:r w:rsidR="00C11560">
        <w:rPr>
          <w:color w:val="000000" w:themeColor="text1"/>
        </w:rPr>
        <w:t>or a wetland regulation</w:t>
      </w:r>
      <w:r w:rsidR="001E3286">
        <w:rPr>
          <w:color w:val="000000" w:themeColor="text1"/>
        </w:rPr>
        <w:t>.</w:t>
      </w:r>
    </w:p>
    <w:p w:rsidR="0031575D" w:rsidRDefault="0031575D" w:rsidP="00C11560">
      <w:pPr>
        <w:pStyle w:val="ListParagraph"/>
        <w:spacing w:after="0"/>
        <w:jc w:val="both"/>
        <w:rPr>
          <w:color w:val="000000" w:themeColor="text1"/>
        </w:rPr>
      </w:pPr>
    </w:p>
    <w:p w:rsidR="00094C04" w:rsidRDefault="0031575D" w:rsidP="00C11560">
      <w:pPr>
        <w:pStyle w:val="ListParagraph"/>
        <w:spacing w:after="0"/>
        <w:jc w:val="both"/>
        <w:rPr>
          <w:color w:val="000000" w:themeColor="text1"/>
        </w:rPr>
      </w:pPr>
      <w:r>
        <w:rPr>
          <w:color w:val="000000" w:themeColor="text1"/>
        </w:rPr>
        <w:t xml:space="preserve">A wetland located adjacent to a significant river or stream is </w:t>
      </w:r>
      <w:r w:rsidR="005B656A">
        <w:rPr>
          <w:color w:val="000000" w:themeColor="text1"/>
        </w:rPr>
        <w:t xml:space="preserve">likely </w:t>
      </w:r>
      <w:r>
        <w:rPr>
          <w:color w:val="000000" w:themeColor="text1"/>
        </w:rPr>
        <w:t xml:space="preserve">more influenced by the water quality within the river or stream than from the adjacent post-construction site (please refer to Attachment 2 of the guidance document).  In these instances, a wider wetland protective area is </w:t>
      </w:r>
      <w:r w:rsidR="007F3FDC">
        <w:rPr>
          <w:color w:val="000000" w:themeColor="text1"/>
        </w:rPr>
        <w:t>impact</w:t>
      </w:r>
      <w:r>
        <w:rPr>
          <w:color w:val="000000" w:themeColor="text1"/>
        </w:rPr>
        <w:t xml:space="preserve">ing the </w:t>
      </w:r>
      <w:r w:rsidR="00AC6704">
        <w:rPr>
          <w:color w:val="000000" w:themeColor="text1"/>
        </w:rPr>
        <w:t xml:space="preserve">landowner of the </w:t>
      </w:r>
      <w:r>
        <w:rPr>
          <w:color w:val="000000" w:themeColor="text1"/>
        </w:rPr>
        <w:t>post-construction</w:t>
      </w:r>
      <w:r w:rsidR="00AC6704">
        <w:rPr>
          <w:color w:val="000000" w:themeColor="text1"/>
        </w:rPr>
        <w:t xml:space="preserve"> site, rather than targeting </w:t>
      </w:r>
      <w:r>
        <w:rPr>
          <w:color w:val="000000" w:themeColor="text1"/>
        </w:rPr>
        <w:t xml:space="preserve">pollutant </w:t>
      </w:r>
      <w:r w:rsidR="005B656A">
        <w:rPr>
          <w:color w:val="000000" w:themeColor="text1"/>
        </w:rPr>
        <w:t>source</w:t>
      </w:r>
      <w:r>
        <w:rPr>
          <w:color w:val="000000" w:themeColor="text1"/>
        </w:rPr>
        <w:t>s located upriver / upstream of the post-construction site.</w:t>
      </w:r>
      <w:r w:rsidR="009A7ACD">
        <w:rPr>
          <w:color w:val="000000" w:themeColor="text1"/>
        </w:rPr>
        <w:t xml:space="preserve">  The </w:t>
      </w:r>
      <w:proofErr w:type="spellStart"/>
      <w:r w:rsidR="009A7ACD">
        <w:rPr>
          <w:color w:val="000000" w:themeColor="text1"/>
        </w:rPr>
        <w:t>permittee</w:t>
      </w:r>
      <w:proofErr w:type="spellEnd"/>
      <w:r w:rsidR="009A7ACD">
        <w:rPr>
          <w:color w:val="000000" w:themeColor="text1"/>
        </w:rPr>
        <w:t xml:space="preserve"> of a new development post-construction site is already providing </w:t>
      </w:r>
      <w:r w:rsidR="00AC6704">
        <w:rPr>
          <w:color w:val="000000" w:themeColor="text1"/>
        </w:rPr>
        <w:t xml:space="preserve">an </w:t>
      </w:r>
      <w:r w:rsidR="009A7ACD">
        <w:rPr>
          <w:color w:val="000000" w:themeColor="text1"/>
        </w:rPr>
        <w:t xml:space="preserve">80 percent TSS reduction.  The </w:t>
      </w:r>
      <w:proofErr w:type="spellStart"/>
      <w:r w:rsidR="009A7ACD">
        <w:rPr>
          <w:color w:val="000000" w:themeColor="text1"/>
        </w:rPr>
        <w:t>permittee</w:t>
      </w:r>
      <w:proofErr w:type="spellEnd"/>
      <w:r w:rsidR="009A7ACD">
        <w:rPr>
          <w:color w:val="000000" w:themeColor="text1"/>
        </w:rPr>
        <w:t xml:space="preserve"> of a re-development post-construction site is exempt from the protective area performance standards. </w:t>
      </w:r>
      <w:r>
        <w:rPr>
          <w:color w:val="000000" w:themeColor="text1"/>
        </w:rPr>
        <w:t xml:space="preserve">      </w:t>
      </w:r>
      <w:r w:rsidR="001E3286">
        <w:rPr>
          <w:color w:val="000000" w:themeColor="text1"/>
        </w:rPr>
        <w:t xml:space="preserve"> </w:t>
      </w:r>
    </w:p>
    <w:p w:rsidR="00C96358" w:rsidRDefault="00C96358" w:rsidP="00C11560">
      <w:pPr>
        <w:pStyle w:val="ListParagraph"/>
        <w:spacing w:after="0"/>
        <w:jc w:val="both"/>
        <w:rPr>
          <w:color w:val="000000" w:themeColor="text1"/>
        </w:rPr>
      </w:pPr>
    </w:p>
    <w:p w:rsidR="003C4C82" w:rsidRDefault="001665ED" w:rsidP="003C4C82">
      <w:pPr>
        <w:pStyle w:val="ListParagraph"/>
        <w:numPr>
          <w:ilvl w:val="0"/>
          <w:numId w:val="2"/>
        </w:numPr>
        <w:spacing w:after="0"/>
        <w:jc w:val="both"/>
        <w:rPr>
          <w:color w:val="000000" w:themeColor="text1"/>
        </w:rPr>
      </w:pPr>
      <w:r w:rsidRPr="003C4C82">
        <w:rPr>
          <w:b/>
          <w:color w:val="000000" w:themeColor="text1"/>
        </w:rPr>
        <w:t>Determining the Wetland Protective Area (page 5)</w:t>
      </w:r>
      <w:r w:rsidRPr="003C4C82">
        <w:rPr>
          <w:color w:val="000000" w:themeColor="text1"/>
        </w:rPr>
        <w:t xml:space="preserve"> – </w:t>
      </w:r>
      <w:r w:rsidR="007C3401" w:rsidRPr="003C4C82">
        <w:rPr>
          <w:color w:val="000000" w:themeColor="text1"/>
        </w:rPr>
        <w:t xml:space="preserve">Please modify the fourth sentence of the first paragraph as follows:  “When two or more wetland </w:t>
      </w:r>
      <w:r w:rsidR="003C4C82" w:rsidRPr="003C4C82">
        <w:rPr>
          <w:color w:val="000000" w:themeColor="text1"/>
        </w:rPr>
        <w:t>susceptibility classifications</w:t>
      </w:r>
      <w:r w:rsidR="007C3401" w:rsidRPr="003C4C82">
        <w:rPr>
          <w:color w:val="000000" w:themeColor="text1"/>
        </w:rPr>
        <w:t xml:space="preserve"> are identified </w:t>
      </w:r>
      <w:r w:rsidR="002F3FDB" w:rsidRPr="003C4C82">
        <w:rPr>
          <w:color w:val="000000" w:themeColor="text1"/>
        </w:rPr>
        <w:t xml:space="preserve">within the same </w:t>
      </w:r>
      <w:r w:rsidR="00094C04" w:rsidRPr="003C4C82">
        <w:rPr>
          <w:color w:val="000000" w:themeColor="text1"/>
        </w:rPr>
        <w:t xml:space="preserve">contiguous </w:t>
      </w:r>
      <w:r w:rsidR="002F3FDB" w:rsidRPr="003C4C82">
        <w:rPr>
          <w:color w:val="000000" w:themeColor="text1"/>
        </w:rPr>
        <w:t xml:space="preserve">wetland boundary, </w:t>
      </w:r>
      <w:r w:rsidR="007C3401" w:rsidRPr="003C4C82">
        <w:rPr>
          <w:color w:val="000000" w:themeColor="text1"/>
        </w:rPr>
        <w:t xml:space="preserve">the </w:t>
      </w:r>
      <w:r w:rsidR="00DA2D41">
        <w:rPr>
          <w:color w:val="000000" w:themeColor="text1"/>
        </w:rPr>
        <w:t xml:space="preserve">final </w:t>
      </w:r>
      <w:r w:rsidR="007C3401" w:rsidRPr="003C4C82">
        <w:rPr>
          <w:color w:val="000000" w:themeColor="text1"/>
        </w:rPr>
        <w:t xml:space="preserve">protective area </w:t>
      </w:r>
      <w:r w:rsidR="00DA2D41">
        <w:rPr>
          <w:color w:val="000000" w:themeColor="text1"/>
        </w:rPr>
        <w:t>boundary</w:t>
      </w:r>
      <w:r w:rsidR="007C3401" w:rsidRPr="003C4C82">
        <w:rPr>
          <w:color w:val="000000" w:themeColor="text1"/>
        </w:rPr>
        <w:t xml:space="preserve"> </w:t>
      </w:r>
      <w:r w:rsidR="00761C48">
        <w:rPr>
          <w:color w:val="000000" w:themeColor="text1"/>
        </w:rPr>
        <w:t>is to</w:t>
      </w:r>
      <w:r w:rsidR="003C4C82" w:rsidRPr="003C4C82">
        <w:rPr>
          <w:color w:val="000000" w:themeColor="text1"/>
        </w:rPr>
        <w:t xml:space="preserve"> be </w:t>
      </w:r>
      <w:r w:rsidR="00687239">
        <w:rPr>
          <w:color w:val="000000" w:themeColor="text1"/>
        </w:rPr>
        <w:t xml:space="preserve">delineated using </w:t>
      </w:r>
      <w:r w:rsidR="003C4C82" w:rsidRPr="003C4C82">
        <w:rPr>
          <w:color w:val="000000" w:themeColor="text1"/>
        </w:rPr>
        <w:t xml:space="preserve">the outermost </w:t>
      </w:r>
      <w:r w:rsidR="00DA2D41">
        <w:rPr>
          <w:color w:val="000000" w:themeColor="text1"/>
        </w:rPr>
        <w:t>boundary</w:t>
      </w:r>
      <w:r w:rsidR="003C4C82" w:rsidRPr="003C4C82">
        <w:rPr>
          <w:color w:val="000000" w:themeColor="text1"/>
        </w:rPr>
        <w:t xml:space="preserve"> of each protective area category</w:t>
      </w:r>
      <w:r w:rsidR="002F3FDB" w:rsidRPr="003C4C82">
        <w:rPr>
          <w:color w:val="000000" w:themeColor="text1"/>
        </w:rPr>
        <w:t xml:space="preserve"> </w:t>
      </w:r>
      <w:r w:rsidR="00350CA1" w:rsidRPr="003C4C82">
        <w:rPr>
          <w:color w:val="000000" w:themeColor="text1"/>
        </w:rPr>
        <w:t xml:space="preserve">(i.e. </w:t>
      </w:r>
      <w:r w:rsidR="00687239" w:rsidRPr="003C4C82">
        <w:rPr>
          <w:color w:val="000000" w:themeColor="text1"/>
        </w:rPr>
        <w:t>high</w:t>
      </w:r>
      <w:r w:rsidR="00687239">
        <w:rPr>
          <w:color w:val="000000" w:themeColor="text1"/>
        </w:rPr>
        <w:t xml:space="preserve">ly susceptible </w:t>
      </w:r>
      <w:r w:rsidR="00687239">
        <w:rPr>
          <w:color w:val="000000" w:themeColor="text1"/>
        </w:rPr>
        <w:lastRenderedPageBreak/>
        <w:t xml:space="preserve">wetland, less </w:t>
      </w:r>
      <w:r w:rsidR="00687239" w:rsidRPr="003C4C82">
        <w:rPr>
          <w:color w:val="000000" w:themeColor="text1"/>
        </w:rPr>
        <w:t>susceptible</w:t>
      </w:r>
      <w:r w:rsidR="00687239">
        <w:rPr>
          <w:color w:val="000000" w:themeColor="text1"/>
        </w:rPr>
        <w:t xml:space="preserve"> wetland, USGS stream, ORW/ERW, etc.</w:t>
      </w:r>
      <w:r w:rsidR="00350CA1" w:rsidRPr="003C4C82">
        <w:rPr>
          <w:color w:val="000000" w:themeColor="text1"/>
        </w:rPr>
        <w:t>)</w:t>
      </w:r>
      <w:r w:rsidR="002F3FDB" w:rsidRPr="003C4C82">
        <w:rPr>
          <w:color w:val="000000" w:themeColor="text1"/>
        </w:rPr>
        <w:t>.</w:t>
      </w:r>
      <w:r w:rsidR="00350CA1" w:rsidRPr="003C4C82">
        <w:rPr>
          <w:color w:val="000000" w:themeColor="text1"/>
        </w:rPr>
        <w:t xml:space="preserve">”  </w:t>
      </w:r>
      <w:r w:rsidR="00DA2D41">
        <w:rPr>
          <w:color w:val="000000" w:themeColor="text1"/>
        </w:rPr>
        <w:t>For clarification, p</w:t>
      </w:r>
      <w:r w:rsidR="00687239">
        <w:rPr>
          <w:color w:val="000000" w:themeColor="text1"/>
        </w:rPr>
        <w:t xml:space="preserve">lease create a figure that depicts </w:t>
      </w:r>
      <w:r w:rsidR="00687239" w:rsidRPr="003C4C82">
        <w:rPr>
          <w:color w:val="000000" w:themeColor="text1"/>
        </w:rPr>
        <w:t xml:space="preserve">all three </w:t>
      </w:r>
      <w:r w:rsidR="00687239">
        <w:rPr>
          <w:color w:val="000000" w:themeColor="text1"/>
        </w:rPr>
        <w:t xml:space="preserve">wetland </w:t>
      </w:r>
      <w:r w:rsidR="00687239" w:rsidRPr="003C4C82">
        <w:rPr>
          <w:color w:val="000000" w:themeColor="text1"/>
        </w:rPr>
        <w:t>susceptibility</w:t>
      </w:r>
      <w:r w:rsidR="00687239">
        <w:rPr>
          <w:color w:val="000000" w:themeColor="text1"/>
        </w:rPr>
        <w:t xml:space="preserve"> classifications</w:t>
      </w:r>
      <w:r w:rsidR="00DA2D41">
        <w:rPr>
          <w:color w:val="000000" w:themeColor="text1"/>
        </w:rPr>
        <w:t xml:space="preserve"> within the same contiguous wetland boundary and then depict the </w:t>
      </w:r>
      <w:r w:rsidR="00687239" w:rsidRPr="003C4C82">
        <w:rPr>
          <w:color w:val="000000" w:themeColor="text1"/>
        </w:rPr>
        <w:t xml:space="preserve">respective protective </w:t>
      </w:r>
      <w:r w:rsidR="00DA2D41">
        <w:rPr>
          <w:color w:val="000000" w:themeColor="text1"/>
        </w:rPr>
        <w:t>area width</w:t>
      </w:r>
      <w:r w:rsidR="00687239" w:rsidRPr="003C4C82">
        <w:rPr>
          <w:color w:val="000000" w:themeColor="text1"/>
        </w:rPr>
        <w:t>s</w:t>
      </w:r>
      <w:r w:rsidR="00DA2D41">
        <w:rPr>
          <w:color w:val="000000" w:themeColor="text1"/>
        </w:rPr>
        <w:t xml:space="preserve">, including the governing </w:t>
      </w:r>
      <w:r w:rsidR="00687239" w:rsidRPr="003C4C82">
        <w:rPr>
          <w:color w:val="000000" w:themeColor="text1"/>
        </w:rPr>
        <w:t xml:space="preserve">outermost protective area </w:t>
      </w:r>
      <w:r w:rsidR="00DA2D41">
        <w:rPr>
          <w:color w:val="000000" w:themeColor="text1"/>
        </w:rPr>
        <w:t>boundary.</w:t>
      </w:r>
    </w:p>
    <w:p w:rsidR="003C4C82" w:rsidRDefault="003C4C82" w:rsidP="003C4C82">
      <w:pPr>
        <w:pStyle w:val="ListParagraph"/>
        <w:spacing w:after="0"/>
        <w:jc w:val="both"/>
        <w:rPr>
          <w:color w:val="000000" w:themeColor="text1"/>
        </w:rPr>
      </w:pPr>
    </w:p>
    <w:p w:rsidR="00DA2D41" w:rsidRDefault="003C4C82" w:rsidP="003C4C82">
      <w:pPr>
        <w:pStyle w:val="ListParagraph"/>
        <w:spacing w:after="0"/>
        <w:jc w:val="both"/>
        <w:rPr>
          <w:color w:val="000000" w:themeColor="text1"/>
        </w:rPr>
      </w:pPr>
      <w:r w:rsidRPr="003C4C82">
        <w:rPr>
          <w:color w:val="000000" w:themeColor="text1"/>
        </w:rPr>
        <w:t xml:space="preserve">The </w:t>
      </w:r>
      <w:r w:rsidR="00DA2D41">
        <w:rPr>
          <w:color w:val="000000" w:themeColor="text1"/>
        </w:rPr>
        <w:t>statement that</w:t>
      </w:r>
      <w:r w:rsidRPr="003C4C82">
        <w:rPr>
          <w:color w:val="000000" w:themeColor="text1"/>
        </w:rPr>
        <w:t xml:space="preserve"> “the more/most susceptible type of wetland is used to determine the protective area” runs counter to the purpose of </w:t>
      </w:r>
      <w:r w:rsidR="00DA2D41">
        <w:rPr>
          <w:color w:val="000000" w:themeColor="text1"/>
        </w:rPr>
        <w:t>provid</w:t>
      </w:r>
      <w:r w:rsidRPr="003C4C82">
        <w:rPr>
          <w:color w:val="000000" w:themeColor="text1"/>
        </w:rPr>
        <w:t xml:space="preserve">ing </w:t>
      </w:r>
      <w:r w:rsidR="00DA2D41">
        <w:rPr>
          <w:color w:val="000000" w:themeColor="text1"/>
        </w:rPr>
        <w:t xml:space="preserve">varying </w:t>
      </w:r>
      <w:r w:rsidRPr="003C4C82">
        <w:rPr>
          <w:color w:val="000000" w:themeColor="text1"/>
        </w:rPr>
        <w:t xml:space="preserve">protective area </w:t>
      </w:r>
      <w:r w:rsidR="00DA2D41">
        <w:rPr>
          <w:color w:val="000000" w:themeColor="text1"/>
        </w:rPr>
        <w:t>widths</w:t>
      </w:r>
      <w:r w:rsidRPr="003C4C82">
        <w:rPr>
          <w:color w:val="000000" w:themeColor="text1"/>
        </w:rPr>
        <w:t xml:space="preserve"> for three different </w:t>
      </w:r>
      <w:r w:rsidR="00DA2D41">
        <w:rPr>
          <w:color w:val="000000" w:themeColor="text1"/>
        </w:rPr>
        <w:t xml:space="preserve">wetland </w:t>
      </w:r>
      <w:r w:rsidRPr="003C4C82">
        <w:rPr>
          <w:color w:val="000000" w:themeColor="text1"/>
        </w:rPr>
        <w:t xml:space="preserve">susceptibility </w:t>
      </w:r>
      <w:r w:rsidR="00DA2D41">
        <w:rPr>
          <w:color w:val="000000" w:themeColor="text1"/>
        </w:rPr>
        <w:t>classifications in NR 151.</w:t>
      </w:r>
      <w:r w:rsidRPr="003C4C82">
        <w:rPr>
          <w:color w:val="000000" w:themeColor="text1"/>
        </w:rPr>
        <w:t xml:space="preserve">  </w:t>
      </w:r>
      <w:r w:rsidR="0011426F">
        <w:rPr>
          <w:color w:val="000000" w:themeColor="text1"/>
        </w:rPr>
        <w:t>An approach similar to Step 2 on page 5 of this guidance document is suggested.  C</w:t>
      </w:r>
      <w:r w:rsidR="00DA2D41">
        <w:rPr>
          <w:color w:val="000000" w:themeColor="text1"/>
        </w:rPr>
        <w:t>onsider the following example:</w:t>
      </w:r>
    </w:p>
    <w:p w:rsidR="00F7264F" w:rsidRDefault="00F7264F" w:rsidP="003C4C82">
      <w:pPr>
        <w:pStyle w:val="ListParagraph"/>
        <w:spacing w:after="0"/>
        <w:jc w:val="both"/>
        <w:rPr>
          <w:color w:val="000000" w:themeColor="text1"/>
        </w:rPr>
      </w:pPr>
    </w:p>
    <w:p w:rsidR="0094234E" w:rsidRPr="0094234E" w:rsidRDefault="00DA2D41" w:rsidP="00DA2D41">
      <w:pPr>
        <w:pStyle w:val="ListParagraph"/>
        <w:numPr>
          <w:ilvl w:val="0"/>
          <w:numId w:val="3"/>
        </w:numPr>
        <w:spacing w:after="0"/>
        <w:jc w:val="both"/>
      </w:pPr>
      <w:r>
        <w:rPr>
          <w:color w:val="000000" w:themeColor="text1"/>
        </w:rPr>
        <w:t>A</w:t>
      </w:r>
      <w:r w:rsidRPr="003C4C82">
        <w:rPr>
          <w:color w:val="000000" w:themeColor="text1"/>
        </w:rPr>
        <w:t xml:space="preserve"> coniferous swamp (high susceptibility)</w:t>
      </w:r>
      <w:r>
        <w:rPr>
          <w:color w:val="000000" w:themeColor="text1"/>
        </w:rPr>
        <w:t xml:space="preserve"> is </w:t>
      </w:r>
      <w:r w:rsidR="0094234E">
        <w:rPr>
          <w:color w:val="000000" w:themeColor="text1"/>
        </w:rPr>
        <w:t xml:space="preserve">located at the center of a wetland boundary.  The coniferous swamp (high susceptibility) is </w:t>
      </w:r>
      <w:r w:rsidR="00AC6704">
        <w:rPr>
          <w:color w:val="000000" w:themeColor="text1"/>
        </w:rPr>
        <w:t xml:space="preserve">completely </w:t>
      </w:r>
      <w:r>
        <w:rPr>
          <w:color w:val="000000" w:themeColor="text1"/>
        </w:rPr>
        <w:t xml:space="preserve">surrounded by a 500 foot wide reed canary grass </w:t>
      </w:r>
      <w:r w:rsidR="0094234E">
        <w:rPr>
          <w:color w:val="000000" w:themeColor="text1"/>
        </w:rPr>
        <w:t>wetland</w:t>
      </w:r>
      <w:r>
        <w:rPr>
          <w:color w:val="000000" w:themeColor="text1"/>
        </w:rPr>
        <w:t xml:space="preserve"> (low susceptibility)</w:t>
      </w:r>
      <w:r w:rsidR="0094234E">
        <w:rPr>
          <w:color w:val="000000" w:themeColor="text1"/>
        </w:rPr>
        <w:t xml:space="preserve">.  </w:t>
      </w:r>
    </w:p>
    <w:p w:rsidR="00350CA1" w:rsidRPr="00350CA1" w:rsidRDefault="0094234E" w:rsidP="00DA2D41">
      <w:pPr>
        <w:pStyle w:val="ListParagraph"/>
        <w:numPr>
          <w:ilvl w:val="0"/>
          <w:numId w:val="3"/>
        </w:numPr>
        <w:spacing w:after="0"/>
        <w:jc w:val="both"/>
      </w:pPr>
      <w:r>
        <w:rPr>
          <w:color w:val="000000" w:themeColor="text1"/>
        </w:rPr>
        <w:t xml:space="preserve">In our opinion, it is not </w:t>
      </w:r>
      <w:r w:rsidR="003C4C82" w:rsidRPr="003C4C82">
        <w:rPr>
          <w:color w:val="000000" w:themeColor="text1"/>
        </w:rPr>
        <w:t xml:space="preserve">justifiable </w:t>
      </w:r>
      <w:r>
        <w:rPr>
          <w:color w:val="000000" w:themeColor="text1"/>
        </w:rPr>
        <w:t>from a w</w:t>
      </w:r>
      <w:r w:rsidR="00DA2D41">
        <w:rPr>
          <w:color w:val="000000" w:themeColor="text1"/>
        </w:rPr>
        <w:t xml:space="preserve">ater quality </w:t>
      </w:r>
      <w:r>
        <w:rPr>
          <w:color w:val="000000" w:themeColor="text1"/>
        </w:rPr>
        <w:t xml:space="preserve">or ecological perspective to require a </w:t>
      </w:r>
      <w:r w:rsidR="003C4C82" w:rsidRPr="003C4C82">
        <w:rPr>
          <w:color w:val="000000" w:themeColor="text1"/>
        </w:rPr>
        <w:t xml:space="preserve">75 foot protective area </w:t>
      </w:r>
      <w:r>
        <w:rPr>
          <w:color w:val="000000" w:themeColor="text1"/>
        </w:rPr>
        <w:t xml:space="preserve">starting at the outer </w:t>
      </w:r>
      <w:r w:rsidR="003C4C82" w:rsidRPr="003C4C82">
        <w:rPr>
          <w:color w:val="000000" w:themeColor="text1"/>
        </w:rPr>
        <w:t xml:space="preserve">edge of </w:t>
      </w:r>
      <w:r>
        <w:rPr>
          <w:color w:val="000000" w:themeColor="text1"/>
        </w:rPr>
        <w:t>the</w:t>
      </w:r>
      <w:r w:rsidR="003C4C82" w:rsidRPr="003C4C82">
        <w:rPr>
          <w:color w:val="000000" w:themeColor="text1"/>
        </w:rPr>
        <w:t xml:space="preserve"> reed canary grass </w:t>
      </w:r>
      <w:r>
        <w:rPr>
          <w:color w:val="000000" w:themeColor="text1"/>
        </w:rPr>
        <w:t>wetland</w:t>
      </w:r>
      <w:r w:rsidR="003C4C82" w:rsidRPr="003C4C82">
        <w:rPr>
          <w:color w:val="000000" w:themeColor="text1"/>
        </w:rPr>
        <w:t xml:space="preserve"> (low susceptibility)</w:t>
      </w:r>
      <w:r>
        <w:rPr>
          <w:color w:val="000000" w:themeColor="text1"/>
        </w:rPr>
        <w:t xml:space="preserve"> since the e</w:t>
      </w:r>
      <w:r w:rsidR="003C4C82" w:rsidRPr="003C4C82">
        <w:rPr>
          <w:color w:val="000000" w:themeColor="text1"/>
        </w:rPr>
        <w:t xml:space="preserve">dge of </w:t>
      </w:r>
      <w:r>
        <w:rPr>
          <w:color w:val="000000" w:themeColor="text1"/>
        </w:rPr>
        <w:t>the coniferous swamp is located</w:t>
      </w:r>
      <w:r w:rsidR="003C4C82" w:rsidRPr="003C4C82">
        <w:rPr>
          <w:color w:val="000000" w:themeColor="text1"/>
        </w:rPr>
        <w:t xml:space="preserve"> 500 feet from the outermost edge of the reed canary grass marsh. In </w:t>
      </w:r>
      <w:r>
        <w:rPr>
          <w:color w:val="000000" w:themeColor="text1"/>
        </w:rPr>
        <w:t xml:space="preserve">essence, the high susceptibility wetland is </w:t>
      </w:r>
      <w:r w:rsidR="0011426F">
        <w:rPr>
          <w:color w:val="000000" w:themeColor="text1"/>
        </w:rPr>
        <w:t>buffered by</w:t>
      </w:r>
      <w:r>
        <w:rPr>
          <w:color w:val="000000" w:themeColor="text1"/>
        </w:rPr>
        <w:t xml:space="preserve"> the low susceptibility wetland.  In </w:t>
      </w:r>
      <w:r w:rsidR="003C4C82" w:rsidRPr="003C4C82">
        <w:rPr>
          <w:color w:val="000000" w:themeColor="text1"/>
        </w:rPr>
        <w:t xml:space="preserve">this example, the </w:t>
      </w:r>
      <w:r w:rsidR="00DA2D41">
        <w:rPr>
          <w:color w:val="000000" w:themeColor="text1"/>
        </w:rPr>
        <w:t xml:space="preserve">outermost </w:t>
      </w:r>
      <w:r w:rsidR="003C4C82" w:rsidRPr="003C4C82">
        <w:rPr>
          <w:color w:val="000000" w:themeColor="text1"/>
        </w:rPr>
        <w:t xml:space="preserve">protective area </w:t>
      </w:r>
      <w:r w:rsidR="00DA2D41">
        <w:rPr>
          <w:color w:val="000000" w:themeColor="text1"/>
        </w:rPr>
        <w:t>boundary</w:t>
      </w:r>
      <w:r w:rsidR="003C4C82" w:rsidRPr="003C4C82">
        <w:rPr>
          <w:color w:val="000000" w:themeColor="text1"/>
        </w:rPr>
        <w:t xml:space="preserve"> </w:t>
      </w:r>
      <w:r>
        <w:rPr>
          <w:color w:val="000000" w:themeColor="text1"/>
        </w:rPr>
        <w:t>for this wetland should be 30 feet, not 75 feet</w:t>
      </w:r>
      <w:r w:rsidR="003C4C82" w:rsidRPr="003C4C82">
        <w:rPr>
          <w:color w:val="000000" w:themeColor="text1"/>
        </w:rPr>
        <w:t>.</w:t>
      </w:r>
    </w:p>
    <w:p w:rsidR="00350CA1" w:rsidRDefault="00350CA1" w:rsidP="00350CA1">
      <w:pPr>
        <w:pStyle w:val="ListParagraph"/>
        <w:spacing w:after="0"/>
        <w:jc w:val="both"/>
        <w:rPr>
          <w:b/>
          <w:color w:val="000000" w:themeColor="text1"/>
        </w:rPr>
      </w:pPr>
    </w:p>
    <w:p w:rsidR="00A0023D" w:rsidRPr="00350CA1" w:rsidRDefault="001E2877" w:rsidP="00A0023D">
      <w:pPr>
        <w:pStyle w:val="ListParagraph"/>
        <w:numPr>
          <w:ilvl w:val="0"/>
          <w:numId w:val="2"/>
        </w:numPr>
        <w:spacing w:after="0"/>
        <w:jc w:val="both"/>
      </w:pPr>
      <w:r>
        <w:rPr>
          <w:b/>
          <w:color w:val="000000" w:themeColor="text1"/>
        </w:rPr>
        <w:t xml:space="preserve">Determining the Wetland Protective Area, </w:t>
      </w:r>
      <w:r w:rsidR="00A0023D">
        <w:rPr>
          <w:b/>
          <w:color w:val="000000" w:themeColor="text1"/>
        </w:rPr>
        <w:t>Highly Susceptible</w:t>
      </w:r>
      <w:r w:rsidR="00A0023D" w:rsidRPr="00673D1D">
        <w:rPr>
          <w:b/>
          <w:color w:val="000000" w:themeColor="text1"/>
        </w:rPr>
        <w:t xml:space="preserve"> (page </w:t>
      </w:r>
      <w:r w:rsidR="00A0023D">
        <w:rPr>
          <w:b/>
          <w:color w:val="000000" w:themeColor="text1"/>
        </w:rPr>
        <w:t>5</w:t>
      </w:r>
      <w:r w:rsidR="00C96358">
        <w:rPr>
          <w:b/>
          <w:color w:val="000000" w:themeColor="text1"/>
        </w:rPr>
        <w:t xml:space="preserve"> &amp; 6</w:t>
      </w:r>
      <w:r w:rsidR="00A0023D" w:rsidRPr="00673D1D">
        <w:rPr>
          <w:b/>
          <w:color w:val="000000" w:themeColor="text1"/>
        </w:rPr>
        <w:t>)</w:t>
      </w:r>
      <w:r w:rsidR="00A0023D" w:rsidRPr="00673D1D">
        <w:rPr>
          <w:color w:val="000000" w:themeColor="text1"/>
        </w:rPr>
        <w:t xml:space="preserve"> – </w:t>
      </w:r>
      <w:r w:rsidR="00A0023D">
        <w:rPr>
          <w:color w:val="000000" w:themeColor="text1"/>
        </w:rPr>
        <w:t>Please modify the last sentence of items b, d, e, and f as follows:  “Invas</w:t>
      </w:r>
      <w:r w:rsidR="00C96358">
        <w:rPr>
          <w:color w:val="000000" w:themeColor="text1"/>
        </w:rPr>
        <w:t xml:space="preserve">ive species make up less than </w:t>
      </w:r>
      <w:r w:rsidR="00D37949">
        <w:rPr>
          <w:color w:val="000000" w:themeColor="text1"/>
        </w:rPr>
        <w:t>1</w:t>
      </w:r>
      <w:r w:rsidR="00C96358">
        <w:rPr>
          <w:color w:val="000000" w:themeColor="text1"/>
        </w:rPr>
        <w:t xml:space="preserve">0 percent of the plant community’s composition.”  </w:t>
      </w:r>
      <w:r w:rsidR="00A0023D">
        <w:rPr>
          <w:color w:val="000000" w:themeColor="text1"/>
        </w:rPr>
        <w:t xml:space="preserve">   </w:t>
      </w:r>
    </w:p>
    <w:p w:rsidR="00C96358" w:rsidRDefault="00C96358" w:rsidP="00C96358">
      <w:pPr>
        <w:pStyle w:val="ListParagraph"/>
        <w:spacing w:after="0"/>
        <w:jc w:val="both"/>
        <w:rPr>
          <w:color w:val="000000" w:themeColor="text1"/>
        </w:rPr>
      </w:pPr>
    </w:p>
    <w:p w:rsidR="00C96358" w:rsidRPr="00350CA1" w:rsidRDefault="001E2877" w:rsidP="00C96358">
      <w:pPr>
        <w:pStyle w:val="ListParagraph"/>
        <w:numPr>
          <w:ilvl w:val="0"/>
          <w:numId w:val="2"/>
        </w:numPr>
        <w:spacing w:after="0"/>
        <w:jc w:val="both"/>
      </w:pPr>
      <w:r>
        <w:rPr>
          <w:b/>
          <w:color w:val="000000" w:themeColor="text1"/>
        </w:rPr>
        <w:t xml:space="preserve">Determining the Wetland Protective Area, </w:t>
      </w:r>
      <w:r w:rsidR="00C96358">
        <w:rPr>
          <w:b/>
          <w:color w:val="000000" w:themeColor="text1"/>
        </w:rPr>
        <w:t>Less Susceptible</w:t>
      </w:r>
      <w:r w:rsidR="00C96358" w:rsidRPr="00673D1D">
        <w:rPr>
          <w:b/>
          <w:color w:val="000000" w:themeColor="text1"/>
        </w:rPr>
        <w:t xml:space="preserve"> (page </w:t>
      </w:r>
      <w:r w:rsidR="00C96358">
        <w:rPr>
          <w:b/>
          <w:color w:val="000000" w:themeColor="text1"/>
        </w:rPr>
        <w:t>6</w:t>
      </w:r>
      <w:r w:rsidR="00C96358" w:rsidRPr="00673D1D">
        <w:rPr>
          <w:b/>
          <w:color w:val="000000" w:themeColor="text1"/>
        </w:rPr>
        <w:t>)</w:t>
      </w:r>
      <w:r w:rsidR="00C96358" w:rsidRPr="00673D1D">
        <w:rPr>
          <w:color w:val="000000" w:themeColor="text1"/>
        </w:rPr>
        <w:t xml:space="preserve"> – </w:t>
      </w:r>
      <w:r w:rsidR="00C96358">
        <w:rPr>
          <w:color w:val="000000" w:themeColor="text1"/>
        </w:rPr>
        <w:t xml:space="preserve">Please modify the first sentence of the first paragraph as follows:  “Less susceptible wetlands are those which consist of invasive species that make up more than 50 percent of the absolute vegetative cover.”     </w:t>
      </w:r>
    </w:p>
    <w:p w:rsidR="001E2877" w:rsidRDefault="001E2877" w:rsidP="001E2877">
      <w:pPr>
        <w:pStyle w:val="ListParagraph"/>
        <w:spacing w:after="0"/>
        <w:jc w:val="both"/>
        <w:rPr>
          <w:color w:val="000000" w:themeColor="text1"/>
        </w:rPr>
      </w:pPr>
    </w:p>
    <w:p w:rsidR="001E2877" w:rsidRPr="00350CA1" w:rsidRDefault="001E2877" w:rsidP="001E2877">
      <w:pPr>
        <w:pStyle w:val="ListParagraph"/>
        <w:numPr>
          <w:ilvl w:val="0"/>
          <w:numId w:val="2"/>
        </w:numPr>
        <w:spacing w:after="0"/>
        <w:jc w:val="both"/>
      </w:pPr>
      <w:r>
        <w:rPr>
          <w:b/>
          <w:color w:val="000000" w:themeColor="text1"/>
        </w:rPr>
        <w:t>Determining the Wetland Protective Area</w:t>
      </w:r>
      <w:r w:rsidRPr="00673D1D">
        <w:rPr>
          <w:b/>
          <w:color w:val="000000" w:themeColor="text1"/>
        </w:rPr>
        <w:t xml:space="preserve"> (page </w:t>
      </w:r>
      <w:r w:rsidR="003D14E8">
        <w:rPr>
          <w:b/>
          <w:color w:val="000000" w:themeColor="text1"/>
        </w:rPr>
        <w:t xml:space="preserve">6 and </w:t>
      </w:r>
      <w:r>
        <w:rPr>
          <w:b/>
          <w:color w:val="000000" w:themeColor="text1"/>
        </w:rPr>
        <w:t>7</w:t>
      </w:r>
      <w:r w:rsidRPr="00673D1D">
        <w:rPr>
          <w:b/>
          <w:color w:val="000000" w:themeColor="text1"/>
        </w:rPr>
        <w:t>)</w:t>
      </w:r>
      <w:r w:rsidRPr="00673D1D">
        <w:rPr>
          <w:color w:val="000000" w:themeColor="text1"/>
        </w:rPr>
        <w:t xml:space="preserve"> – </w:t>
      </w:r>
      <w:r>
        <w:rPr>
          <w:color w:val="000000" w:themeColor="text1"/>
        </w:rPr>
        <w:t xml:space="preserve">Please delete the </w:t>
      </w:r>
      <w:r w:rsidR="003D14E8">
        <w:rPr>
          <w:color w:val="000000" w:themeColor="text1"/>
        </w:rPr>
        <w:t xml:space="preserve">entire paragraph that begins at the bottom of page 6 and continues onto the top of page 7.  At a minimum, please delete the </w:t>
      </w:r>
      <w:r>
        <w:rPr>
          <w:color w:val="000000" w:themeColor="text1"/>
        </w:rPr>
        <w:t>following sentence:  “The wetland should be classified on the basis of the plant community that would normally be supported in the absence of the disturbance.”  NR 151.125(1</w:t>
      </w:r>
      <w:proofErr w:type="gramStart"/>
      <w:r>
        <w:rPr>
          <w:color w:val="000000" w:themeColor="text1"/>
        </w:rPr>
        <w:t>)(</w:t>
      </w:r>
      <w:proofErr w:type="gramEnd"/>
      <w:r>
        <w:rPr>
          <w:color w:val="000000" w:themeColor="text1"/>
        </w:rPr>
        <w:t xml:space="preserve">f) clearly states that cultivated hydric soils are classified as “less susceptible”, not as “the plant community that would normally be supported in the absence of the disturbance.”       </w:t>
      </w:r>
    </w:p>
    <w:p w:rsidR="001E2877" w:rsidRDefault="001E2877" w:rsidP="001E2877">
      <w:pPr>
        <w:pStyle w:val="ListParagraph"/>
        <w:spacing w:after="0"/>
        <w:jc w:val="both"/>
        <w:rPr>
          <w:color w:val="000000" w:themeColor="text1"/>
        </w:rPr>
      </w:pPr>
    </w:p>
    <w:p w:rsidR="009363F3" w:rsidRPr="009D199C" w:rsidRDefault="001E2877" w:rsidP="00E42F69">
      <w:pPr>
        <w:pStyle w:val="ListParagraph"/>
        <w:numPr>
          <w:ilvl w:val="0"/>
          <w:numId w:val="2"/>
        </w:numPr>
        <w:spacing w:after="0" w:line="288" w:lineRule="auto"/>
        <w:jc w:val="both"/>
        <w:rPr>
          <w:rFonts w:ascii="Arial" w:hAnsi="Arial" w:cs="Arial"/>
        </w:rPr>
      </w:pPr>
      <w:r w:rsidRPr="00054F3F">
        <w:rPr>
          <w:b/>
          <w:color w:val="000000" w:themeColor="text1"/>
        </w:rPr>
        <w:t>Determining the Wetland Protective Area (page 7)</w:t>
      </w:r>
      <w:r w:rsidRPr="00054F3F">
        <w:rPr>
          <w:color w:val="000000" w:themeColor="text1"/>
        </w:rPr>
        <w:t xml:space="preserve"> – Please delete the following sentence:  “For artificial wetlands, the degree of susceptibility is determined by the plant community composition.”  Wet detention ponds and dry detention ponds can contain artificial wetlands, but are exempt from NR 103 regulations.  The intent of NR 151.125 is not to delineate protective areas for artificial wetlands located within a wet detention pond, dry detention pond, or other artificial wetland.</w:t>
      </w:r>
      <w:r w:rsidR="00AC6704" w:rsidRPr="00054F3F">
        <w:rPr>
          <w:color w:val="000000" w:themeColor="text1"/>
        </w:rPr>
        <w:t xml:space="preserve">  Recently, WDNR has classif</w:t>
      </w:r>
      <w:r w:rsidR="00054F3F" w:rsidRPr="00054F3F">
        <w:rPr>
          <w:color w:val="000000" w:themeColor="text1"/>
        </w:rPr>
        <w:t>ied a few</w:t>
      </w:r>
      <w:r w:rsidR="00AC6704" w:rsidRPr="00054F3F">
        <w:rPr>
          <w:color w:val="000000" w:themeColor="text1"/>
        </w:rPr>
        <w:t xml:space="preserve"> artificial wetlands located within dry detention </w:t>
      </w:r>
      <w:r w:rsidR="00AC6704" w:rsidRPr="00054F3F">
        <w:rPr>
          <w:color w:val="000000" w:themeColor="text1"/>
        </w:rPr>
        <w:lastRenderedPageBreak/>
        <w:t>ponds as regulated wetlands when NR 103 clearly exempts these facilities.  Please clarify in the guidance if a wetland located within a dry detention pond</w:t>
      </w:r>
      <w:r w:rsidR="00054F3F" w:rsidRPr="00054F3F">
        <w:rPr>
          <w:color w:val="000000" w:themeColor="text1"/>
        </w:rPr>
        <w:t>,</w:t>
      </w:r>
      <w:r w:rsidR="00AC6704" w:rsidRPr="00054F3F">
        <w:rPr>
          <w:color w:val="000000" w:themeColor="text1"/>
        </w:rPr>
        <w:t xml:space="preserve"> wet detention pond</w:t>
      </w:r>
      <w:r w:rsidR="00054F3F" w:rsidRPr="00054F3F">
        <w:rPr>
          <w:color w:val="000000" w:themeColor="text1"/>
        </w:rPr>
        <w:t>, or other stormwater facility</w:t>
      </w:r>
      <w:r w:rsidR="00AC6704" w:rsidRPr="00054F3F">
        <w:rPr>
          <w:color w:val="000000" w:themeColor="text1"/>
        </w:rPr>
        <w:t xml:space="preserve"> that was constructed for flood control or water quality </w:t>
      </w:r>
      <w:r w:rsidR="00054F3F" w:rsidRPr="00054F3F">
        <w:rPr>
          <w:color w:val="000000" w:themeColor="text1"/>
        </w:rPr>
        <w:t xml:space="preserve">purposes </w:t>
      </w:r>
      <w:r w:rsidR="00AC6704" w:rsidRPr="00054F3F">
        <w:rPr>
          <w:color w:val="000000" w:themeColor="text1"/>
        </w:rPr>
        <w:t>is a regulated wetland</w:t>
      </w:r>
      <w:r w:rsidR="00054F3F" w:rsidRPr="00054F3F">
        <w:rPr>
          <w:color w:val="000000" w:themeColor="text1"/>
        </w:rPr>
        <w:t xml:space="preserve"> that is subject to the NR 151 protective area performance standards</w:t>
      </w:r>
      <w:r w:rsidR="00AC6704" w:rsidRPr="00054F3F">
        <w:rPr>
          <w:color w:val="000000" w:themeColor="text1"/>
        </w:rPr>
        <w:t>.</w:t>
      </w:r>
      <w:r w:rsidR="001E53C5">
        <w:rPr>
          <w:color w:val="000000" w:themeColor="text1"/>
        </w:rPr>
        <w:t xml:space="preserve">  Please add the following sentence to the guidance document:  “Pursuant to NR 103, wetlands </w:t>
      </w:r>
      <w:r w:rsidR="00A4182D">
        <w:rPr>
          <w:color w:val="000000" w:themeColor="text1"/>
        </w:rPr>
        <w:t xml:space="preserve">that are </w:t>
      </w:r>
      <w:r w:rsidR="001E53C5">
        <w:rPr>
          <w:color w:val="000000" w:themeColor="text1"/>
        </w:rPr>
        <w:t xml:space="preserve">located within </w:t>
      </w:r>
      <w:r w:rsidR="00A4182D">
        <w:rPr>
          <w:color w:val="000000" w:themeColor="text1"/>
        </w:rPr>
        <w:t xml:space="preserve">a privately-owned or publicly-owned </w:t>
      </w:r>
      <w:r w:rsidR="001E53C5">
        <w:rPr>
          <w:color w:val="000000" w:themeColor="text1"/>
        </w:rPr>
        <w:t xml:space="preserve">stormwater </w:t>
      </w:r>
      <w:r w:rsidR="00A4182D">
        <w:rPr>
          <w:color w:val="000000" w:themeColor="text1"/>
        </w:rPr>
        <w:t xml:space="preserve">management </w:t>
      </w:r>
      <w:r w:rsidR="001E53C5">
        <w:rPr>
          <w:color w:val="000000" w:themeColor="text1"/>
        </w:rPr>
        <w:t>facilit</w:t>
      </w:r>
      <w:r w:rsidR="00A4182D">
        <w:rPr>
          <w:color w:val="000000" w:themeColor="text1"/>
        </w:rPr>
        <w:t>y</w:t>
      </w:r>
      <w:r w:rsidR="001E53C5">
        <w:rPr>
          <w:color w:val="000000" w:themeColor="text1"/>
        </w:rPr>
        <w:t xml:space="preserve"> </w:t>
      </w:r>
      <w:r w:rsidR="00A4182D">
        <w:rPr>
          <w:color w:val="000000" w:themeColor="text1"/>
        </w:rPr>
        <w:t xml:space="preserve">(e.g. wet detention ponds, dry detention ponds, etc.) </w:t>
      </w:r>
      <w:r w:rsidR="001E53C5">
        <w:rPr>
          <w:color w:val="000000" w:themeColor="text1"/>
        </w:rPr>
        <w:t xml:space="preserve">are not regulated by </w:t>
      </w:r>
      <w:r w:rsidR="00A4182D">
        <w:rPr>
          <w:color w:val="000000" w:themeColor="text1"/>
        </w:rPr>
        <w:t xml:space="preserve">the </w:t>
      </w:r>
      <w:r w:rsidR="001E53C5">
        <w:rPr>
          <w:color w:val="000000" w:themeColor="text1"/>
        </w:rPr>
        <w:t xml:space="preserve">WDNR and consequently are not subject to the protective area performance standards.”  </w:t>
      </w:r>
      <w:r w:rsidR="00AC6704" w:rsidRPr="00054F3F">
        <w:rPr>
          <w:color w:val="000000" w:themeColor="text1"/>
        </w:rPr>
        <w:t xml:space="preserve">  </w:t>
      </w:r>
    </w:p>
    <w:p w:rsidR="009D199C" w:rsidRDefault="009D199C" w:rsidP="009D199C">
      <w:pPr>
        <w:spacing w:after="0" w:line="288" w:lineRule="auto"/>
        <w:jc w:val="both"/>
        <w:rPr>
          <w:rFonts w:ascii="Arial" w:hAnsi="Arial" w:cs="Arial"/>
        </w:rPr>
      </w:pPr>
    </w:p>
    <w:p w:rsidR="009D199C" w:rsidRDefault="009D199C" w:rsidP="009D199C">
      <w:pPr>
        <w:spacing w:after="0" w:line="288" w:lineRule="auto"/>
        <w:jc w:val="both"/>
        <w:rPr>
          <w:rFonts w:ascii="Arial" w:hAnsi="Arial" w:cs="Arial"/>
        </w:rPr>
      </w:pPr>
    </w:p>
    <w:p w:rsidR="00BD1E38" w:rsidRDefault="00BD1E38" w:rsidP="00BD1E38">
      <w:pPr>
        <w:spacing w:after="240"/>
        <w:jc w:val="both"/>
        <w:rPr>
          <w:color w:val="000000"/>
        </w:rPr>
      </w:pPr>
      <w:r>
        <w:rPr>
          <w:color w:val="000000"/>
        </w:rPr>
        <w:t>Please contact us with any questions regarding our comments.</w:t>
      </w:r>
    </w:p>
    <w:p w:rsidR="00BD1E38" w:rsidRDefault="00BD1E38" w:rsidP="00BD1E38">
      <w:pPr>
        <w:spacing w:after="240"/>
        <w:jc w:val="both"/>
        <w:rPr>
          <w:color w:val="000000"/>
        </w:rPr>
      </w:pPr>
      <w:r>
        <w:rPr>
          <w:color w:val="000000"/>
        </w:rPr>
        <w:t>Sincerely,</w:t>
      </w:r>
    </w:p>
    <w:p w:rsidR="00BD1E38" w:rsidRDefault="00BD1E38" w:rsidP="00BD1E38">
      <w:pPr>
        <w:spacing w:after="240"/>
        <w:jc w:val="both"/>
        <w:rPr>
          <w:color w:val="000000"/>
        </w:rPr>
      </w:pPr>
      <w:r>
        <w:rPr>
          <w:noProof/>
          <w:color w:val="000000"/>
        </w:rPr>
        <w:drawing>
          <wp:inline distT="0" distB="0" distL="0" distR="0">
            <wp:extent cx="2286000" cy="1028700"/>
            <wp:effectExtent l="0" t="0" r="0" b="0"/>
            <wp:docPr id="1" name="Picture 1" descr="Jessica Schultz electronic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ssica Schultz electronic signature"/>
                    <pic:cNvPicPr>
                      <a:picLocks noChangeAspect="1" noChangeArrowheads="1"/>
                    </pic:cNvPicPr>
                  </pic:nvPicPr>
                  <pic:blipFill>
                    <a:blip r:embed="rId7">
                      <a:lum contrast="80000"/>
                      <a:extLst>
                        <a:ext uri="{28A0092B-C50C-407E-A947-70E740481C1C}">
                          <a14:useLocalDpi xmlns:a14="http://schemas.microsoft.com/office/drawing/2010/main" val="0"/>
                        </a:ext>
                      </a:extLst>
                    </a:blip>
                    <a:srcRect/>
                    <a:stretch>
                      <a:fillRect/>
                    </a:stretch>
                  </pic:blipFill>
                  <pic:spPr bwMode="auto">
                    <a:xfrm>
                      <a:off x="0" y="0"/>
                      <a:ext cx="2286000" cy="1028700"/>
                    </a:xfrm>
                    <a:prstGeom prst="rect">
                      <a:avLst/>
                    </a:prstGeom>
                    <a:noFill/>
                    <a:ln>
                      <a:noFill/>
                    </a:ln>
                  </pic:spPr>
                </pic:pic>
              </a:graphicData>
            </a:graphic>
          </wp:inline>
        </w:drawing>
      </w:r>
    </w:p>
    <w:p w:rsidR="00BD1E38" w:rsidRDefault="00BD1E38" w:rsidP="00BD1E38">
      <w:pPr>
        <w:spacing w:after="240"/>
        <w:rPr>
          <w:color w:val="000000"/>
        </w:rPr>
      </w:pPr>
      <w:r>
        <w:rPr>
          <w:color w:val="000000"/>
        </w:rPr>
        <w:t>Jessica Schultz</w:t>
      </w:r>
      <w:r>
        <w:rPr>
          <w:color w:val="000000"/>
        </w:rPr>
        <w:br/>
      </w:r>
      <w:proofErr w:type="gramStart"/>
      <w:r>
        <w:rPr>
          <w:color w:val="000000"/>
        </w:rPr>
        <w:t>Director</w:t>
      </w:r>
      <w:proofErr w:type="gramEnd"/>
      <w:r>
        <w:rPr>
          <w:color w:val="000000"/>
        </w:rPr>
        <w:br/>
        <w:t>(920)858-4246</w:t>
      </w:r>
      <w:r>
        <w:rPr>
          <w:color w:val="000000"/>
        </w:rPr>
        <w:br/>
      </w:r>
      <w:hyperlink r:id="rId8" w:history="1">
        <w:r w:rsidRPr="0050350E">
          <w:rPr>
            <w:rStyle w:val="Hyperlink"/>
          </w:rPr>
          <w:t>newsc@newsc.org</w:t>
        </w:r>
      </w:hyperlink>
      <w:r>
        <w:rPr>
          <w:color w:val="000000"/>
        </w:rPr>
        <w:t xml:space="preserve"> </w:t>
      </w:r>
      <w:r>
        <w:rPr>
          <w:color w:val="000000"/>
        </w:rPr>
        <w:br/>
      </w:r>
      <w:r>
        <w:rPr>
          <w:color w:val="000000"/>
        </w:rPr>
        <w:br/>
        <w:t>NEWSC Member Communities</w:t>
      </w:r>
    </w:p>
    <w:tbl>
      <w:tblPr>
        <w:tblW w:w="10186" w:type="dxa"/>
        <w:tblLook w:val="04A0" w:firstRow="1" w:lastRow="0" w:firstColumn="1" w:lastColumn="0" w:noHBand="0" w:noVBand="1"/>
      </w:tblPr>
      <w:tblGrid>
        <w:gridCol w:w="2228"/>
        <w:gridCol w:w="2391"/>
        <w:gridCol w:w="2471"/>
        <w:gridCol w:w="3096"/>
      </w:tblGrid>
      <w:tr w:rsidR="00BD1E38" w:rsidRPr="007774D0" w:rsidTr="000F788F">
        <w:trPr>
          <w:trHeight w:val="3216"/>
        </w:trPr>
        <w:tc>
          <w:tcPr>
            <w:tcW w:w="2228" w:type="dxa"/>
            <w:shd w:val="clear" w:color="auto" w:fill="auto"/>
          </w:tcPr>
          <w:p w:rsidR="00BD1E38" w:rsidRPr="007774D0" w:rsidRDefault="00BD1E38" w:rsidP="007B71DD">
            <w:pPr>
              <w:spacing w:after="240"/>
              <w:rPr>
                <w:color w:val="000000"/>
              </w:rPr>
            </w:pPr>
            <w:r w:rsidRPr="007774D0">
              <w:rPr>
                <w:color w:val="000000"/>
              </w:rPr>
              <w:t>Brown County</w:t>
            </w:r>
            <w:r w:rsidRPr="007774D0">
              <w:rPr>
                <w:color w:val="000000"/>
              </w:rPr>
              <w:br/>
              <w:t>Calumet County</w:t>
            </w:r>
            <w:r w:rsidRPr="007774D0">
              <w:rPr>
                <w:color w:val="000000"/>
              </w:rPr>
              <w:br/>
              <w:t>Fond du Lac County</w:t>
            </w:r>
            <w:r w:rsidRPr="007774D0">
              <w:rPr>
                <w:color w:val="000000"/>
              </w:rPr>
              <w:br/>
              <w:t>Outagamie County</w:t>
            </w:r>
            <w:r w:rsidRPr="007774D0">
              <w:rPr>
                <w:color w:val="000000"/>
              </w:rPr>
              <w:br/>
              <w:t>Winnebago County</w:t>
            </w:r>
          </w:p>
          <w:p w:rsidR="00BD1E38" w:rsidRPr="007774D0" w:rsidRDefault="00BD1E38" w:rsidP="007B71DD">
            <w:pPr>
              <w:spacing w:after="240"/>
              <w:rPr>
                <w:color w:val="000000"/>
              </w:rPr>
            </w:pPr>
            <w:r w:rsidRPr="007774D0">
              <w:rPr>
                <w:color w:val="000000"/>
              </w:rPr>
              <w:t>UW Oshkosh</w:t>
            </w:r>
          </w:p>
          <w:p w:rsidR="00BD1E38" w:rsidRPr="007774D0" w:rsidRDefault="00BD1E38" w:rsidP="007B71DD">
            <w:pPr>
              <w:spacing w:after="240"/>
              <w:rPr>
                <w:color w:val="000000"/>
              </w:rPr>
            </w:pPr>
            <w:r w:rsidRPr="007774D0">
              <w:rPr>
                <w:color w:val="000000"/>
              </w:rPr>
              <w:br/>
            </w:r>
            <w:r w:rsidRPr="007774D0">
              <w:rPr>
                <w:color w:val="000000"/>
              </w:rPr>
              <w:br/>
            </w:r>
          </w:p>
        </w:tc>
        <w:tc>
          <w:tcPr>
            <w:tcW w:w="2391" w:type="dxa"/>
            <w:shd w:val="clear" w:color="auto" w:fill="auto"/>
          </w:tcPr>
          <w:p w:rsidR="00BD1E38" w:rsidRPr="007774D0" w:rsidRDefault="00BD1E38" w:rsidP="007B71DD">
            <w:pPr>
              <w:spacing w:after="240"/>
              <w:rPr>
                <w:color w:val="000000"/>
              </w:rPr>
            </w:pPr>
            <w:r w:rsidRPr="007774D0">
              <w:rPr>
                <w:color w:val="000000"/>
              </w:rPr>
              <w:t>City of Appleton</w:t>
            </w:r>
            <w:r w:rsidRPr="007774D0">
              <w:rPr>
                <w:color w:val="000000"/>
              </w:rPr>
              <w:br/>
              <w:t xml:space="preserve">City of </w:t>
            </w:r>
            <w:proofErr w:type="spellStart"/>
            <w:r w:rsidRPr="007774D0">
              <w:rPr>
                <w:color w:val="000000"/>
              </w:rPr>
              <w:t>DePere</w:t>
            </w:r>
            <w:proofErr w:type="spellEnd"/>
            <w:r w:rsidRPr="007774D0">
              <w:rPr>
                <w:color w:val="000000"/>
              </w:rPr>
              <w:br/>
              <w:t>City of Fond du Lac</w:t>
            </w:r>
            <w:r w:rsidRPr="007774D0">
              <w:rPr>
                <w:color w:val="000000"/>
              </w:rPr>
              <w:br/>
              <w:t>City of Green Bay</w:t>
            </w:r>
            <w:r w:rsidRPr="007774D0">
              <w:rPr>
                <w:color w:val="000000"/>
              </w:rPr>
              <w:br/>
              <w:t xml:space="preserve">City of Kaukauna </w:t>
            </w:r>
            <w:r w:rsidRPr="007774D0">
              <w:rPr>
                <w:color w:val="000000"/>
              </w:rPr>
              <w:br/>
              <w:t>City of Manitowoc</w:t>
            </w:r>
            <w:r w:rsidRPr="007774D0">
              <w:rPr>
                <w:color w:val="000000"/>
              </w:rPr>
              <w:br/>
              <w:t>City of Marinette</w:t>
            </w:r>
            <w:r w:rsidRPr="007774D0">
              <w:rPr>
                <w:color w:val="000000"/>
              </w:rPr>
              <w:br/>
              <w:t>City of Menasha</w:t>
            </w:r>
            <w:r w:rsidRPr="007774D0">
              <w:rPr>
                <w:color w:val="000000"/>
              </w:rPr>
              <w:br/>
              <w:t xml:space="preserve">City of Neenah </w:t>
            </w:r>
            <w:r w:rsidRPr="007774D0">
              <w:rPr>
                <w:color w:val="000000"/>
              </w:rPr>
              <w:br/>
              <w:t xml:space="preserve">City of Oshkosh </w:t>
            </w:r>
            <w:r w:rsidRPr="007774D0">
              <w:rPr>
                <w:color w:val="000000"/>
              </w:rPr>
              <w:br/>
              <w:t>City of Two Rivers</w:t>
            </w:r>
            <w:r w:rsidRPr="007774D0">
              <w:rPr>
                <w:color w:val="000000"/>
              </w:rPr>
              <w:br/>
            </w:r>
          </w:p>
          <w:p w:rsidR="00BD1E38" w:rsidRPr="007774D0" w:rsidRDefault="00BD1E38" w:rsidP="007B71DD">
            <w:pPr>
              <w:spacing w:after="240"/>
              <w:rPr>
                <w:color w:val="000000"/>
              </w:rPr>
            </w:pPr>
          </w:p>
        </w:tc>
        <w:tc>
          <w:tcPr>
            <w:tcW w:w="2471" w:type="dxa"/>
            <w:shd w:val="clear" w:color="auto" w:fill="auto"/>
          </w:tcPr>
          <w:p w:rsidR="00BD1E38" w:rsidRPr="007774D0" w:rsidRDefault="00BD1E38" w:rsidP="007B71DD">
            <w:pPr>
              <w:spacing w:after="240"/>
              <w:rPr>
                <w:color w:val="000000"/>
              </w:rPr>
            </w:pPr>
            <w:r w:rsidRPr="007774D0">
              <w:rPr>
                <w:color w:val="000000"/>
              </w:rPr>
              <w:t>Town of Black Wolf</w:t>
            </w:r>
            <w:r w:rsidRPr="007774D0">
              <w:rPr>
                <w:color w:val="000000"/>
              </w:rPr>
              <w:br/>
              <w:t>Town of Buchanan</w:t>
            </w:r>
            <w:r w:rsidRPr="007774D0">
              <w:rPr>
                <w:color w:val="000000"/>
              </w:rPr>
              <w:br/>
              <w:t>Town of Fond du Lac</w:t>
            </w:r>
            <w:r w:rsidRPr="007774D0">
              <w:rPr>
                <w:color w:val="000000"/>
              </w:rPr>
              <w:br/>
              <w:t>Town of Friendship</w:t>
            </w:r>
            <w:r w:rsidRPr="007774D0">
              <w:rPr>
                <w:color w:val="000000"/>
              </w:rPr>
              <w:br/>
              <w:t>Town of Grand Chute</w:t>
            </w:r>
            <w:r w:rsidRPr="007774D0">
              <w:rPr>
                <w:color w:val="000000"/>
              </w:rPr>
              <w:br/>
              <w:t>Town of Greenville</w:t>
            </w:r>
            <w:r w:rsidRPr="007774D0">
              <w:rPr>
                <w:color w:val="000000"/>
              </w:rPr>
              <w:br/>
              <w:t xml:space="preserve">Town of </w:t>
            </w:r>
            <w:proofErr w:type="spellStart"/>
            <w:r w:rsidRPr="007774D0">
              <w:rPr>
                <w:color w:val="000000"/>
              </w:rPr>
              <w:t>Ledgeview</w:t>
            </w:r>
            <w:proofErr w:type="spellEnd"/>
            <w:r w:rsidRPr="007774D0">
              <w:rPr>
                <w:color w:val="000000"/>
              </w:rPr>
              <w:br/>
              <w:t>Town of Menasha</w:t>
            </w:r>
            <w:r w:rsidRPr="007774D0">
              <w:rPr>
                <w:color w:val="000000"/>
              </w:rPr>
              <w:br/>
              <w:t>Town of Neenah</w:t>
            </w:r>
            <w:r w:rsidRPr="007774D0">
              <w:rPr>
                <w:color w:val="000000"/>
              </w:rPr>
              <w:br/>
              <w:t>Town of Scott</w:t>
            </w:r>
            <w:r w:rsidRPr="007774D0">
              <w:rPr>
                <w:color w:val="000000"/>
              </w:rPr>
              <w:br/>
              <w:t xml:space="preserve">Town of </w:t>
            </w:r>
            <w:proofErr w:type="spellStart"/>
            <w:r w:rsidRPr="007774D0">
              <w:rPr>
                <w:color w:val="000000"/>
              </w:rPr>
              <w:t>Taycheedah</w:t>
            </w:r>
            <w:proofErr w:type="spellEnd"/>
            <w:r w:rsidRPr="007774D0">
              <w:rPr>
                <w:color w:val="000000"/>
              </w:rPr>
              <w:t xml:space="preserve"> </w:t>
            </w:r>
          </w:p>
          <w:p w:rsidR="00BD1E38" w:rsidRPr="007774D0" w:rsidRDefault="00BD1E38" w:rsidP="007B71DD">
            <w:pPr>
              <w:spacing w:after="240"/>
              <w:rPr>
                <w:color w:val="000000"/>
              </w:rPr>
            </w:pPr>
            <w:r w:rsidRPr="007774D0">
              <w:rPr>
                <w:color w:val="000000"/>
              </w:rPr>
              <w:br/>
            </w:r>
          </w:p>
        </w:tc>
        <w:tc>
          <w:tcPr>
            <w:tcW w:w="3096" w:type="dxa"/>
            <w:shd w:val="clear" w:color="auto" w:fill="auto"/>
          </w:tcPr>
          <w:p w:rsidR="00BD1E38" w:rsidRPr="007774D0" w:rsidRDefault="00BD1E38" w:rsidP="007B71DD">
            <w:pPr>
              <w:spacing w:after="240"/>
              <w:rPr>
                <w:color w:val="000000"/>
              </w:rPr>
            </w:pPr>
            <w:r w:rsidRPr="007774D0">
              <w:rPr>
                <w:color w:val="000000"/>
              </w:rPr>
              <w:t xml:space="preserve">Village of </w:t>
            </w:r>
            <w:proofErr w:type="spellStart"/>
            <w:r w:rsidRPr="007774D0">
              <w:rPr>
                <w:color w:val="000000"/>
              </w:rPr>
              <w:t>Allouez</w:t>
            </w:r>
            <w:proofErr w:type="spellEnd"/>
            <w:r w:rsidRPr="007774D0">
              <w:rPr>
                <w:color w:val="000000"/>
              </w:rPr>
              <w:br/>
              <w:t xml:space="preserve">Village of </w:t>
            </w:r>
            <w:proofErr w:type="spellStart"/>
            <w:r w:rsidRPr="007774D0">
              <w:rPr>
                <w:color w:val="000000"/>
              </w:rPr>
              <w:t>Ashwaubenon</w:t>
            </w:r>
            <w:proofErr w:type="spellEnd"/>
            <w:r w:rsidRPr="007774D0">
              <w:rPr>
                <w:color w:val="000000"/>
              </w:rPr>
              <w:br/>
              <w:t xml:space="preserve">Village of </w:t>
            </w:r>
            <w:proofErr w:type="spellStart"/>
            <w:r w:rsidRPr="007774D0">
              <w:rPr>
                <w:color w:val="000000"/>
              </w:rPr>
              <w:t>Bellvue</w:t>
            </w:r>
            <w:proofErr w:type="spellEnd"/>
            <w:r w:rsidRPr="007774D0">
              <w:rPr>
                <w:color w:val="000000"/>
              </w:rPr>
              <w:br/>
              <w:t>Village of Combined Locks</w:t>
            </w:r>
            <w:r>
              <w:rPr>
                <w:color w:val="000000"/>
              </w:rPr>
              <w:br/>
              <w:t>Village</w:t>
            </w:r>
            <w:r w:rsidRPr="007774D0">
              <w:rPr>
                <w:color w:val="000000"/>
              </w:rPr>
              <w:t xml:space="preserve"> of Harrison</w:t>
            </w:r>
            <w:r w:rsidRPr="007774D0">
              <w:rPr>
                <w:color w:val="000000"/>
              </w:rPr>
              <w:br/>
              <w:t>Village of Hobart</w:t>
            </w:r>
            <w:r w:rsidRPr="007774D0">
              <w:rPr>
                <w:color w:val="000000"/>
              </w:rPr>
              <w:br/>
              <w:t>Village of Howard</w:t>
            </w:r>
            <w:r w:rsidRPr="007774D0">
              <w:rPr>
                <w:color w:val="000000"/>
              </w:rPr>
              <w:br/>
              <w:t>Village of Kimberly</w:t>
            </w:r>
            <w:r w:rsidRPr="007774D0">
              <w:rPr>
                <w:color w:val="000000"/>
              </w:rPr>
              <w:br/>
              <w:t>Village of Little Chute</w:t>
            </w:r>
            <w:r w:rsidRPr="007774D0">
              <w:rPr>
                <w:color w:val="000000"/>
              </w:rPr>
              <w:br/>
              <w:t>Village of North Fond du Lac</w:t>
            </w:r>
            <w:r w:rsidRPr="007774D0">
              <w:rPr>
                <w:color w:val="000000"/>
              </w:rPr>
              <w:br/>
              <w:t>Village of Sherwood</w:t>
            </w:r>
            <w:r w:rsidRPr="007774D0">
              <w:rPr>
                <w:color w:val="000000"/>
              </w:rPr>
              <w:br/>
              <w:t xml:space="preserve">Village of </w:t>
            </w:r>
            <w:proofErr w:type="spellStart"/>
            <w:r w:rsidRPr="007774D0">
              <w:rPr>
                <w:color w:val="000000"/>
              </w:rPr>
              <w:t>Suamico</w:t>
            </w:r>
            <w:proofErr w:type="spellEnd"/>
          </w:p>
        </w:tc>
      </w:tr>
    </w:tbl>
    <w:p w:rsidR="009D199C" w:rsidRPr="009D199C" w:rsidRDefault="009D199C" w:rsidP="000F788F">
      <w:pPr>
        <w:spacing w:after="0" w:line="288" w:lineRule="auto"/>
        <w:jc w:val="both"/>
        <w:rPr>
          <w:rFonts w:ascii="Arial" w:hAnsi="Arial" w:cs="Arial"/>
        </w:rPr>
      </w:pPr>
      <w:bookmarkStart w:id="0" w:name="_GoBack"/>
      <w:bookmarkEnd w:id="0"/>
    </w:p>
    <w:sectPr w:rsidR="009D199C" w:rsidRPr="009D1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7F5033"/>
    <w:multiLevelType w:val="hybridMultilevel"/>
    <w:tmpl w:val="D43EC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F377EC"/>
    <w:multiLevelType w:val="hybridMultilevel"/>
    <w:tmpl w:val="CF2080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CF6764"/>
    <w:multiLevelType w:val="hybridMultilevel"/>
    <w:tmpl w:val="4516F1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732"/>
    <w:rsid w:val="00015FCB"/>
    <w:rsid w:val="000231C0"/>
    <w:rsid w:val="00030ADD"/>
    <w:rsid w:val="0003265C"/>
    <w:rsid w:val="00034D63"/>
    <w:rsid w:val="000412B2"/>
    <w:rsid w:val="000412FB"/>
    <w:rsid w:val="0005216C"/>
    <w:rsid w:val="000529C5"/>
    <w:rsid w:val="00054B1E"/>
    <w:rsid w:val="00054F3F"/>
    <w:rsid w:val="00055508"/>
    <w:rsid w:val="00057FCE"/>
    <w:rsid w:val="000816AB"/>
    <w:rsid w:val="00094C04"/>
    <w:rsid w:val="000B5A5B"/>
    <w:rsid w:val="000C4B6E"/>
    <w:rsid w:val="000C4D0C"/>
    <w:rsid w:val="000C5A8F"/>
    <w:rsid w:val="000F788F"/>
    <w:rsid w:val="00107581"/>
    <w:rsid w:val="00110DE8"/>
    <w:rsid w:val="0011426F"/>
    <w:rsid w:val="001372DE"/>
    <w:rsid w:val="00157BCE"/>
    <w:rsid w:val="00157CA2"/>
    <w:rsid w:val="00160616"/>
    <w:rsid w:val="001665ED"/>
    <w:rsid w:val="00172B0F"/>
    <w:rsid w:val="0017702B"/>
    <w:rsid w:val="00177F3D"/>
    <w:rsid w:val="001843BC"/>
    <w:rsid w:val="001A71B2"/>
    <w:rsid w:val="001D3737"/>
    <w:rsid w:val="001D3CF8"/>
    <w:rsid w:val="001E2877"/>
    <w:rsid w:val="001E3286"/>
    <w:rsid w:val="001E53C5"/>
    <w:rsid w:val="001F12C7"/>
    <w:rsid w:val="002060AD"/>
    <w:rsid w:val="002314D7"/>
    <w:rsid w:val="002350B1"/>
    <w:rsid w:val="00237CC8"/>
    <w:rsid w:val="00240442"/>
    <w:rsid w:val="00241E7A"/>
    <w:rsid w:val="002433E1"/>
    <w:rsid w:val="00244859"/>
    <w:rsid w:val="00253F75"/>
    <w:rsid w:val="00287D09"/>
    <w:rsid w:val="002A00AE"/>
    <w:rsid w:val="002C55F8"/>
    <w:rsid w:val="002C68B5"/>
    <w:rsid w:val="002D1F8D"/>
    <w:rsid w:val="002D3A4F"/>
    <w:rsid w:val="002F0968"/>
    <w:rsid w:val="002F3FDB"/>
    <w:rsid w:val="002F44DB"/>
    <w:rsid w:val="002F4D5E"/>
    <w:rsid w:val="002F78F6"/>
    <w:rsid w:val="0030681A"/>
    <w:rsid w:val="0031575D"/>
    <w:rsid w:val="00322F53"/>
    <w:rsid w:val="0033224F"/>
    <w:rsid w:val="00346528"/>
    <w:rsid w:val="00350CA1"/>
    <w:rsid w:val="0035783F"/>
    <w:rsid w:val="00361A59"/>
    <w:rsid w:val="003768A1"/>
    <w:rsid w:val="00382506"/>
    <w:rsid w:val="00396DEC"/>
    <w:rsid w:val="003B7FB7"/>
    <w:rsid w:val="003C4C82"/>
    <w:rsid w:val="003D14E8"/>
    <w:rsid w:val="003D6A40"/>
    <w:rsid w:val="003E65C3"/>
    <w:rsid w:val="003F2ABF"/>
    <w:rsid w:val="003F3C27"/>
    <w:rsid w:val="0040070E"/>
    <w:rsid w:val="00404CB6"/>
    <w:rsid w:val="00410059"/>
    <w:rsid w:val="0042307F"/>
    <w:rsid w:val="004439CF"/>
    <w:rsid w:val="00465272"/>
    <w:rsid w:val="00480596"/>
    <w:rsid w:val="004A092F"/>
    <w:rsid w:val="004A4A96"/>
    <w:rsid w:val="004B4169"/>
    <w:rsid w:val="004C0333"/>
    <w:rsid w:val="004D4924"/>
    <w:rsid w:val="004F2F08"/>
    <w:rsid w:val="004F3A42"/>
    <w:rsid w:val="004F50A5"/>
    <w:rsid w:val="004F7599"/>
    <w:rsid w:val="00504587"/>
    <w:rsid w:val="00510F9A"/>
    <w:rsid w:val="0052207F"/>
    <w:rsid w:val="00532A1E"/>
    <w:rsid w:val="00533FBF"/>
    <w:rsid w:val="0053651A"/>
    <w:rsid w:val="00542572"/>
    <w:rsid w:val="005469BF"/>
    <w:rsid w:val="005542C1"/>
    <w:rsid w:val="00556FAD"/>
    <w:rsid w:val="005641F2"/>
    <w:rsid w:val="005717EC"/>
    <w:rsid w:val="00584499"/>
    <w:rsid w:val="005902C8"/>
    <w:rsid w:val="005948F1"/>
    <w:rsid w:val="005956BC"/>
    <w:rsid w:val="005A2AB2"/>
    <w:rsid w:val="005B5277"/>
    <w:rsid w:val="005B5D79"/>
    <w:rsid w:val="005B656A"/>
    <w:rsid w:val="005D024C"/>
    <w:rsid w:val="005D366C"/>
    <w:rsid w:val="005D54C4"/>
    <w:rsid w:val="005E3862"/>
    <w:rsid w:val="005E41DD"/>
    <w:rsid w:val="005F6D17"/>
    <w:rsid w:val="00614E8E"/>
    <w:rsid w:val="00631A7C"/>
    <w:rsid w:val="0063519F"/>
    <w:rsid w:val="0064036C"/>
    <w:rsid w:val="00646BBB"/>
    <w:rsid w:val="00665998"/>
    <w:rsid w:val="00673D1D"/>
    <w:rsid w:val="00680297"/>
    <w:rsid w:val="00687239"/>
    <w:rsid w:val="006A3CBF"/>
    <w:rsid w:val="006B3773"/>
    <w:rsid w:val="006B5492"/>
    <w:rsid w:val="006C0194"/>
    <w:rsid w:val="006D469C"/>
    <w:rsid w:val="006F4FEE"/>
    <w:rsid w:val="007100DF"/>
    <w:rsid w:val="00723F69"/>
    <w:rsid w:val="00724ED8"/>
    <w:rsid w:val="00731690"/>
    <w:rsid w:val="0074211F"/>
    <w:rsid w:val="00754D6C"/>
    <w:rsid w:val="0075742B"/>
    <w:rsid w:val="00761C48"/>
    <w:rsid w:val="00762657"/>
    <w:rsid w:val="007855F4"/>
    <w:rsid w:val="0079145D"/>
    <w:rsid w:val="00791A18"/>
    <w:rsid w:val="007A6699"/>
    <w:rsid w:val="007B200B"/>
    <w:rsid w:val="007C065E"/>
    <w:rsid w:val="007C3401"/>
    <w:rsid w:val="007D082A"/>
    <w:rsid w:val="007E1449"/>
    <w:rsid w:val="007E1979"/>
    <w:rsid w:val="007E5158"/>
    <w:rsid w:val="007E62A8"/>
    <w:rsid w:val="007F3FDC"/>
    <w:rsid w:val="007F7271"/>
    <w:rsid w:val="00804697"/>
    <w:rsid w:val="0081086B"/>
    <w:rsid w:val="00811125"/>
    <w:rsid w:val="0081364E"/>
    <w:rsid w:val="008227D3"/>
    <w:rsid w:val="00822A1E"/>
    <w:rsid w:val="00825D4D"/>
    <w:rsid w:val="008439A7"/>
    <w:rsid w:val="0084640B"/>
    <w:rsid w:val="008524AD"/>
    <w:rsid w:val="0085321A"/>
    <w:rsid w:val="00853B11"/>
    <w:rsid w:val="00857813"/>
    <w:rsid w:val="008863C7"/>
    <w:rsid w:val="00893AB5"/>
    <w:rsid w:val="00895835"/>
    <w:rsid w:val="008B0732"/>
    <w:rsid w:val="008C212E"/>
    <w:rsid w:val="008C2AED"/>
    <w:rsid w:val="008F2C5C"/>
    <w:rsid w:val="008F34A7"/>
    <w:rsid w:val="009151E9"/>
    <w:rsid w:val="00915A1A"/>
    <w:rsid w:val="00922B6C"/>
    <w:rsid w:val="009239FA"/>
    <w:rsid w:val="009363F3"/>
    <w:rsid w:val="00940890"/>
    <w:rsid w:val="0094234E"/>
    <w:rsid w:val="009441F2"/>
    <w:rsid w:val="009637F2"/>
    <w:rsid w:val="00977BA8"/>
    <w:rsid w:val="0098141D"/>
    <w:rsid w:val="00991999"/>
    <w:rsid w:val="00992E76"/>
    <w:rsid w:val="0099773A"/>
    <w:rsid w:val="009A2104"/>
    <w:rsid w:val="009A7ACD"/>
    <w:rsid w:val="009C1F6C"/>
    <w:rsid w:val="009D199C"/>
    <w:rsid w:val="009D397B"/>
    <w:rsid w:val="009F5C6C"/>
    <w:rsid w:val="00A0023D"/>
    <w:rsid w:val="00A00E41"/>
    <w:rsid w:val="00A032C1"/>
    <w:rsid w:val="00A07B6B"/>
    <w:rsid w:val="00A123E1"/>
    <w:rsid w:val="00A243D2"/>
    <w:rsid w:val="00A310B0"/>
    <w:rsid w:val="00A4182D"/>
    <w:rsid w:val="00A43D49"/>
    <w:rsid w:val="00A4556F"/>
    <w:rsid w:val="00A57F66"/>
    <w:rsid w:val="00A6193C"/>
    <w:rsid w:val="00A62A10"/>
    <w:rsid w:val="00A62E67"/>
    <w:rsid w:val="00A669CD"/>
    <w:rsid w:val="00A73B41"/>
    <w:rsid w:val="00A838D5"/>
    <w:rsid w:val="00A863A0"/>
    <w:rsid w:val="00AA1380"/>
    <w:rsid w:val="00AA390E"/>
    <w:rsid w:val="00AB331B"/>
    <w:rsid w:val="00AB6C79"/>
    <w:rsid w:val="00AC484F"/>
    <w:rsid w:val="00AC6704"/>
    <w:rsid w:val="00AD37BA"/>
    <w:rsid w:val="00AD472C"/>
    <w:rsid w:val="00AE1185"/>
    <w:rsid w:val="00AE1354"/>
    <w:rsid w:val="00AE5783"/>
    <w:rsid w:val="00AE5B56"/>
    <w:rsid w:val="00AE7426"/>
    <w:rsid w:val="00B04CE4"/>
    <w:rsid w:val="00B066E2"/>
    <w:rsid w:val="00B07BFA"/>
    <w:rsid w:val="00B10561"/>
    <w:rsid w:val="00B15BD0"/>
    <w:rsid w:val="00B26338"/>
    <w:rsid w:val="00B2799C"/>
    <w:rsid w:val="00B30526"/>
    <w:rsid w:val="00B378E6"/>
    <w:rsid w:val="00B40C77"/>
    <w:rsid w:val="00B6658B"/>
    <w:rsid w:val="00B80174"/>
    <w:rsid w:val="00B91876"/>
    <w:rsid w:val="00B93FE9"/>
    <w:rsid w:val="00BB7565"/>
    <w:rsid w:val="00BC21B2"/>
    <w:rsid w:val="00BC3FC8"/>
    <w:rsid w:val="00BD1E38"/>
    <w:rsid w:val="00BD2881"/>
    <w:rsid w:val="00BF3163"/>
    <w:rsid w:val="00BF365A"/>
    <w:rsid w:val="00BF46A0"/>
    <w:rsid w:val="00C02D69"/>
    <w:rsid w:val="00C0429F"/>
    <w:rsid w:val="00C11560"/>
    <w:rsid w:val="00C13EE4"/>
    <w:rsid w:val="00C26031"/>
    <w:rsid w:val="00C314F2"/>
    <w:rsid w:val="00C45DC9"/>
    <w:rsid w:val="00C92014"/>
    <w:rsid w:val="00C96358"/>
    <w:rsid w:val="00CA1167"/>
    <w:rsid w:val="00CB386F"/>
    <w:rsid w:val="00CC71D0"/>
    <w:rsid w:val="00CD13B7"/>
    <w:rsid w:val="00CE1919"/>
    <w:rsid w:val="00CF646A"/>
    <w:rsid w:val="00CF7DB1"/>
    <w:rsid w:val="00D01662"/>
    <w:rsid w:val="00D22272"/>
    <w:rsid w:val="00D24AB1"/>
    <w:rsid w:val="00D26852"/>
    <w:rsid w:val="00D30CB4"/>
    <w:rsid w:val="00D37949"/>
    <w:rsid w:val="00D42CE1"/>
    <w:rsid w:val="00D53792"/>
    <w:rsid w:val="00D5479E"/>
    <w:rsid w:val="00D7402E"/>
    <w:rsid w:val="00D86BAD"/>
    <w:rsid w:val="00DA2D41"/>
    <w:rsid w:val="00DA59CD"/>
    <w:rsid w:val="00DC7A7D"/>
    <w:rsid w:val="00DD15C7"/>
    <w:rsid w:val="00DD55AB"/>
    <w:rsid w:val="00E1259D"/>
    <w:rsid w:val="00E13CD0"/>
    <w:rsid w:val="00E17789"/>
    <w:rsid w:val="00E2016C"/>
    <w:rsid w:val="00E20E50"/>
    <w:rsid w:val="00E21D8D"/>
    <w:rsid w:val="00E252A2"/>
    <w:rsid w:val="00E31E09"/>
    <w:rsid w:val="00E420FB"/>
    <w:rsid w:val="00E42F69"/>
    <w:rsid w:val="00E5555E"/>
    <w:rsid w:val="00E64E89"/>
    <w:rsid w:val="00E86E29"/>
    <w:rsid w:val="00EA2F69"/>
    <w:rsid w:val="00EC7D0A"/>
    <w:rsid w:val="00ED65C7"/>
    <w:rsid w:val="00EF711D"/>
    <w:rsid w:val="00F04CC3"/>
    <w:rsid w:val="00F15640"/>
    <w:rsid w:val="00F21946"/>
    <w:rsid w:val="00F22E79"/>
    <w:rsid w:val="00F2605F"/>
    <w:rsid w:val="00F614A6"/>
    <w:rsid w:val="00F712AE"/>
    <w:rsid w:val="00F71706"/>
    <w:rsid w:val="00F7264F"/>
    <w:rsid w:val="00F77BBB"/>
    <w:rsid w:val="00F92637"/>
    <w:rsid w:val="00F946F6"/>
    <w:rsid w:val="00F97450"/>
    <w:rsid w:val="00FA02F7"/>
    <w:rsid w:val="00FC156C"/>
    <w:rsid w:val="00FC59F4"/>
    <w:rsid w:val="00FD020D"/>
    <w:rsid w:val="00FD4431"/>
    <w:rsid w:val="00FE0791"/>
    <w:rsid w:val="00FF1023"/>
    <w:rsid w:val="00FF43F1"/>
    <w:rsid w:val="00FF4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28DC19-65E6-482C-B79B-770FA5B0D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50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0A5"/>
    <w:rPr>
      <w:rFonts w:ascii="Tahoma" w:hAnsi="Tahoma" w:cs="Tahoma"/>
      <w:sz w:val="16"/>
      <w:szCs w:val="16"/>
    </w:rPr>
  </w:style>
  <w:style w:type="paragraph" w:styleId="ListParagraph">
    <w:name w:val="List Paragraph"/>
    <w:basedOn w:val="Normal"/>
    <w:uiPriority w:val="34"/>
    <w:qFormat/>
    <w:rsid w:val="00AE1185"/>
    <w:pPr>
      <w:ind w:left="720"/>
      <w:contextualSpacing/>
    </w:pPr>
  </w:style>
  <w:style w:type="table" w:styleId="TableGrid">
    <w:name w:val="Table Grid"/>
    <w:basedOn w:val="TableNormal"/>
    <w:uiPriority w:val="59"/>
    <w:rsid w:val="002A0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D1E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sc@newsc.org"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75038-6B87-4973-BF32-1ED87567D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MCM</Company>
  <LinksUpToDate>false</LinksUpToDate>
  <CharactersWithSpaces>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Vande Hey</dc:creator>
  <cp:lastModifiedBy>Jessica Schultz</cp:lastModifiedBy>
  <cp:revision>4</cp:revision>
  <dcterms:created xsi:type="dcterms:W3CDTF">2015-02-10T21:20:00Z</dcterms:created>
  <dcterms:modified xsi:type="dcterms:W3CDTF">2015-02-10T22:50:00Z</dcterms:modified>
</cp:coreProperties>
</file>