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44"/>
        <w:gridCol w:w="6916"/>
      </w:tblGrid>
      <w:tr w:rsidR="002A00AE" w:rsidTr="00A838D5">
        <w:tc>
          <w:tcPr>
            <w:tcW w:w="2448" w:type="dxa"/>
          </w:tcPr>
          <w:p w:rsidR="002A00AE" w:rsidRDefault="002A00AE" w:rsidP="002A00AE">
            <w:pPr>
              <w:rPr>
                <w:rFonts w:cstheme="minorHAnsi"/>
                <w:b/>
                <w:color w:val="000000" w:themeColor="text1"/>
                <w:sz w:val="24"/>
                <w:szCs w:val="24"/>
              </w:rPr>
            </w:pPr>
            <w:r w:rsidRPr="002A00AE">
              <w:rPr>
                <w:rFonts w:cstheme="minorHAnsi"/>
                <w:b/>
                <w:noProof/>
                <w:color w:val="000000" w:themeColor="text1"/>
                <w:sz w:val="24"/>
                <w:szCs w:val="24"/>
              </w:rPr>
              <w:drawing>
                <wp:inline distT="0" distB="0" distL="0" distR="0" wp14:anchorId="4E4F9162" wp14:editId="5D89311F">
                  <wp:extent cx="1285875" cy="1071174"/>
                  <wp:effectExtent l="0" t="0" r="0" b="0"/>
                  <wp:docPr id="14" name="Picture 2" descr="W:\USERS\NVandehey\NEWSC\NEWSC-spelled out-colo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descr="W:\USERS\NVandehey\NEWSC\NEWSC-spelled out-colo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661" cy="1072661"/>
                          </a:xfrm>
                          <a:prstGeom prst="rect">
                            <a:avLst/>
                          </a:prstGeom>
                          <a:noFill/>
                          <a:extLst/>
                        </pic:spPr>
                      </pic:pic>
                    </a:graphicData>
                  </a:graphic>
                </wp:inline>
              </w:drawing>
            </w:r>
          </w:p>
        </w:tc>
        <w:tc>
          <w:tcPr>
            <w:tcW w:w="7020" w:type="dxa"/>
          </w:tcPr>
          <w:p w:rsidR="002A00AE" w:rsidRPr="002A00AE" w:rsidRDefault="002A00AE" w:rsidP="002A00AE">
            <w:pPr>
              <w:jc w:val="right"/>
              <w:rPr>
                <w:rFonts w:cstheme="minorHAnsi"/>
                <w:b/>
                <w:sz w:val="28"/>
                <w:szCs w:val="28"/>
              </w:rPr>
            </w:pPr>
            <w:r w:rsidRPr="002A00AE">
              <w:rPr>
                <w:rFonts w:cstheme="minorHAnsi"/>
                <w:b/>
                <w:color w:val="000000" w:themeColor="text1"/>
                <w:sz w:val="28"/>
                <w:szCs w:val="28"/>
              </w:rPr>
              <w:t>Comments</w:t>
            </w:r>
            <w:r w:rsidR="00A838D5">
              <w:rPr>
                <w:rFonts w:cstheme="minorHAnsi"/>
                <w:b/>
                <w:color w:val="000000" w:themeColor="text1"/>
                <w:sz w:val="28"/>
                <w:szCs w:val="28"/>
              </w:rPr>
              <w:t xml:space="preserve"> to WDNR</w:t>
            </w:r>
          </w:p>
          <w:p w:rsidR="002A00AE" w:rsidRPr="002A00AE" w:rsidRDefault="00A838D5" w:rsidP="002A00AE">
            <w:pPr>
              <w:jc w:val="right"/>
              <w:rPr>
                <w:rFonts w:cstheme="minorHAnsi"/>
                <w:b/>
                <w:color w:val="000000" w:themeColor="text1"/>
                <w:sz w:val="28"/>
                <w:szCs w:val="28"/>
              </w:rPr>
            </w:pPr>
            <w:r>
              <w:rPr>
                <w:rFonts w:cstheme="minorHAnsi"/>
                <w:b/>
                <w:sz w:val="28"/>
                <w:szCs w:val="28"/>
              </w:rPr>
              <w:t>Modeling Post-Construction SWM Treatment Guidance</w:t>
            </w:r>
            <w:r w:rsidR="002A00AE" w:rsidRPr="002A00AE">
              <w:rPr>
                <w:rFonts w:cstheme="minorHAnsi"/>
                <w:b/>
                <w:color w:val="000000" w:themeColor="text1"/>
                <w:sz w:val="28"/>
                <w:szCs w:val="28"/>
              </w:rPr>
              <w:t xml:space="preserve"> </w:t>
            </w:r>
          </w:p>
          <w:p w:rsidR="002A00AE" w:rsidRPr="002A00AE" w:rsidRDefault="002A00AE" w:rsidP="002A00AE">
            <w:pPr>
              <w:jc w:val="right"/>
              <w:rPr>
                <w:rFonts w:cstheme="minorHAnsi"/>
                <w:b/>
                <w:color w:val="000000" w:themeColor="text1"/>
                <w:sz w:val="28"/>
                <w:szCs w:val="28"/>
              </w:rPr>
            </w:pPr>
            <w:r w:rsidRPr="002A00AE">
              <w:rPr>
                <w:rFonts w:cstheme="minorHAnsi"/>
                <w:b/>
                <w:color w:val="000000" w:themeColor="text1"/>
                <w:sz w:val="28"/>
                <w:szCs w:val="28"/>
              </w:rPr>
              <w:t>NEWSC Rules &amp; Regulations Committee</w:t>
            </w:r>
          </w:p>
          <w:p w:rsidR="002A00AE" w:rsidRPr="002A00AE" w:rsidRDefault="00846ED8" w:rsidP="00A838D5">
            <w:pPr>
              <w:jc w:val="right"/>
              <w:rPr>
                <w:rFonts w:cstheme="minorHAnsi"/>
                <w:b/>
                <w:sz w:val="28"/>
                <w:szCs w:val="28"/>
              </w:rPr>
            </w:pPr>
            <w:r>
              <w:rPr>
                <w:rFonts w:cstheme="minorHAnsi"/>
                <w:b/>
                <w:sz w:val="28"/>
                <w:szCs w:val="28"/>
              </w:rPr>
              <w:t>February 4</w:t>
            </w:r>
            <w:r w:rsidR="00A838D5">
              <w:rPr>
                <w:rFonts w:cstheme="minorHAnsi"/>
                <w:b/>
                <w:sz w:val="28"/>
                <w:szCs w:val="28"/>
              </w:rPr>
              <w:t>, 2015</w:t>
            </w:r>
          </w:p>
        </w:tc>
      </w:tr>
    </w:tbl>
    <w:p w:rsidR="004F50A5" w:rsidRDefault="004F50A5" w:rsidP="00035D24">
      <w:pPr>
        <w:spacing w:after="120"/>
        <w:rPr>
          <w:rFonts w:cstheme="minorHAnsi"/>
          <w:b/>
          <w:color w:val="000000" w:themeColor="text1"/>
        </w:rPr>
      </w:pPr>
    </w:p>
    <w:p w:rsidR="00035D24" w:rsidRDefault="00035D24" w:rsidP="00035D24">
      <w:pPr>
        <w:spacing w:after="240"/>
        <w:jc w:val="both"/>
        <w:rPr>
          <w:color w:val="000000"/>
        </w:rPr>
      </w:pPr>
      <w:r>
        <w:rPr>
          <w:color w:val="000000"/>
        </w:rPr>
        <w:t>February 10, 2015</w:t>
      </w:r>
    </w:p>
    <w:p w:rsidR="00035D24" w:rsidRDefault="00035D24" w:rsidP="00035D24">
      <w:pPr>
        <w:spacing w:after="240"/>
        <w:jc w:val="both"/>
        <w:rPr>
          <w:color w:val="000000"/>
        </w:rPr>
      </w:pPr>
      <w:bookmarkStart w:id="0" w:name="_GoBack"/>
      <w:r>
        <w:rPr>
          <w:color w:val="000000"/>
        </w:rPr>
        <w:t xml:space="preserve">Please consider the comments below developed by the members of the Northeast Wisconsin Stormwater Consortium when finalizing the proposed </w:t>
      </w:r>
      <w:r w:rsidR="004F035B">
        <w:rPr>
          <w:color w:val="000000"/>
        </w:rPr>
        <w:t>Modeling Post-Construction SWM Treatment Guidance</w:t>
      </w:r>
      <w:r>
        <w:rPr>
          <w:color w:val="000000"/>
        </w:rPr>
        <w:t>.</w:t>
      </w:r>
    </w:p>
    <w:bookmarkEnd w:id="0"/>
    <w:p w:rsidR="00035D24" w:rsidRPr="00533FBF" w:rsidRDefault="00035D24" w:rsidP="00035D24">
      <w:pPr>
        <w:spacing w:after="120"/>
        <w:rPr>
          <w:rFonts w:cstheme="minorHAnsi"/>
          <w:b/>
          <w:color w:val="000000" w:themeColor="text1"/>
        </w:rPr>
      </w:pPr>
    </w:p>
    <w:p w:rsidR="007C065E" w:rsidRDefault="00A838D5" w:rsidP="00510F9A">
      <w:pPr>
        <w:pStyle w:val="ListParagraph"/>
        <w:numPr>
          <w:ilvl w:val="0"/>
          <w:numId w:val="2"/>
        </w:numPr>
        <w:spacing w:after="0"/>
        <w:jc w:val="both"/>
        <w:rPr>
          <w:color w:val="000000" w:themeColor="text1"/>
        </w:rPr>
      </w:pPr>
      <w:r>
        <w:rPr>
          <w:b/>
          <w:color w:val="000000" w:themeColor="text1"/>
        </w:rPr>
        <w:t>Entire Document</w:t>
      </w:r>
      <w:r>
        <w:rPr>
          <w:color w:val="000000" w:themeColor="text1"/>
        </w:rPr>
        <w:t xml:space="preserve"> - Please consider replacing the word “basin” with the word “pond” such that terminology agrees with Wet Detention Pond - Technical Standard Code 1001.</w:t>
      </w:r>
      <w:r w:rsidR="00030ADD">
        <w:rPr>
          <w:color w:val="000000" w:themeColor="text1"/>
        </w:rPr>
        <w:t xml:space="preserve">  A “basin” is a hydrologic term used to identify a very large watershed, such as the Fox River Basin.  </w:t>
      </w:r>
    </w:p>
    <w:p w:rsidR="007C065E" w:rsidRDefault="00030ADD" w:rsidP="007C065E">
      <w:pPr>
        <w:pStyle w:val="ListParagraph"/>
        <w:spacing w:after="0"/>
        <w:jc w:val="both"/>
        <w:rPr>
          <w:color w:val="000000" w:themeColor="text1"/>
        </w:rPr>
      </w:pPr>
      <w:r>
        <w:rPr>
          <w:color w:val="000000" w:themeColor="text1"/>
        </w:rPr>
        <w:t xml:space="preserve"> </w:t>
      </w:r>
    </w:p>
    <w:p w:rsidR="00404CB6" w:rsidRDefault="007C065E" w:rsidP="00510F9A">
      <w:pPr>
        <w:pStyle w:val="ListParagraph"/>
        <w:numPr>
          <w:ilvl w:val="0"/>
          <w:numId w:val="2"/>
        </w:numPr>
        <w:spacing w:after="0"/>
        <w:jc w:val="both"/>
        <w:rPr>
          <w:color w:val="000000" w:themeColor="text1"/>
        </w:rPr>
      </w:pPr>
      <w:r>
        <w:rPr>
          <w:b/>
          <w:color w:val="000000" w:themeColor="text1"/>
        </w:rPr>
        <w:t>Entire Document</w:t>
      </w:r>
      <w:r>
        <w:rPr>
          <w:color w:val="000000" w:themeColor="text1"/>
        </w:rPr>
        <w:t xml:space="preserve"> – Please consider clarifying </w:t>
      </w:r>
      <w:r w:rsidR="003F2ABF">
        <w:rPr>
          <w:color w:val="000000" w:themeColor="text1"/>
        </w:rPr>
        <w:t>that the guidance document applies to both NR 151 and Total Maximum Daily Load implementation</w:t>
      </w:r>
      <w:r w:rsidR="004D4924">
        <w:rPr>
          <w:color w:val="000000" w:themeColor="text1"/>
        </w:rPr>
        <w:t xml:space="preserve"> for TSS and total phosphorus (TP)</w:t>
      </w:r>
      <w:r w:rsidR="003F2ABF">
        <w:rPr>
          <w:color w:val="000000" w:themeColor="text1"/>
        </w:rPr>
        <w:t xml:space="preserve">.  Please consider including </w:t>
      </w:r>
      <w:r w:rsidR="004D4924">
        <w:rPr>
          <w:color w:val="000000" w:themeColor="text1"/>
        </w:rPr>
        <w:t>TP</w:t>
      </w:r>
      <w:r>
        <w:rPr>
          <w:color w:val="000000" w:themeColor="text1"/>
        </w:rPr>
        <w:t xml:space="preserve"> procedures throughout the guidance document for purposes of post-construction TMDL implementation.</w:t>
      </w:r>
      <w:r w:rsidR="003F2ABF">
        <w:rPr>
          <w:color w:val="000000" w:themeColor="text1"/>
        </w:rPr>
        <w:t xml:space="preserve">  For example:</w:t>
      </w:r>
      <w:r>
        <w:rPr>
          <w:color w:val="000000" w:themeColor="text1"/>
        </w:rPr>
        <w:t xml:space="preserve">  </w:t>
      </w:r>
    </w:p>
    <w:p w:rsidR="00404CB6" w:rsidRPr="00404CB6" w:rsidRDefault="00404CB6" w:rsidP="00404CB6">
      <w:pPr>
        <w:pStyle w:val="ListParagraph"/>
        <w:rPr>
          <w:color w:val="000000" w:themeColor="text1"/>
        </w:rPr>
      </w:pPr>
    </w:p>
    <w:p w:rsidR="00404CB6" w:rsidRDefault="00404CB6" w:rsidP="00404CB6">
      <w:pPr>
        <w:pStyle w:val="ListParagraph"/>
        <w:numPr>
          <w:ilvl w:val="1"/>
          <w:numId w:val="2"/>
        </w:numPr>
        <w:spacing w:after="0"/>
        <w:jc w:val="both"/>
        <w:rPr>
          <w:color w:val="000000" w:themeColor="text1"/>
        </w:rPr>
      </w:pPr>
      <w:r>
        <w:rPr>
          <w:color w:val="000000" w:themeColor="text1"/>
        </w:rPr>
        <w:t xml:space="preserve">Consider clarifying whether the TSS formulas and example calculations provided within the guidance document apply to both TSS and TP pollutants. </w:t>
      </w:r>
    </w:p>
    <w:p w:rsidR="00510F9A" w:rsidRPr="00510F9A" w:rsidRDefault="00404CB6" w:rsidP="00404CB6">
      <w:pPr>
        <w:pStyle w:val="ListParagraph"/>
        <w:numPr>
          <w:ilvl w:val="1"/>
          <w:numId w:val="2"/>
        </w:numPr>
        <w:spacing w:after="0"/>
        <w:jc w:val="both"/>
        <w:rPr>
          <w:color w:val="000000" w:themeColor="text1"/>
        </w:rPr>
      </w:pPr>
      <w:r>
        <w:rPr>
          <w:color w:val="000000" w:themeColor="text1"/>
        </w:rPr>
        <w:t>S</w:t>
      </w:r>
      <w:r w:rsidR="007C065E">
        <w:rPr>
          <w:color w:val="000000" w:themeColor="text1"/>
        </w:rPr>
        <w:t xml:space="preserve">imilar to TSS, we assume the infiltration volume associated with an infiltration basin, bioretention device, grass swale, and permeable pavement will provide a 100% </w:t>
      </w:r>
      <w:r w:rsidR="004D4924">
        <w:rPr>
          <w:color w:val="000000" w:themeColor="text1"/>
        </w:rPr>
        <w:t>TP</w:t>
      </w:r>
      <w:r w:rsidR="007C065E">
        <w:rPr>
          <w:color w:val="000000" w:themeColor="text1"/>
        </w:rPr>
        <w:t xml:space="preserve"> reduction.  We also assume the by-pass volume associated with these same devices will provide a 0% </w:t>
      </w:r>
      <w:r w:rsidR="004D4924">
        <w:rPr>
          <w:color w:val="000000" w:themeColor="text1"/>
        </w:rPr>
        <w:t>TP</w:t>
      </w:r>
      <w:r w:rsidR="007C065E">
        <w:rPr>
          <w:color w:val="000000" w:themeColor="text1"/>
        </w:rPr>
        <w:t xml:space="preserve"> reduction.  Similar to TSS, please clarify the </w:t>
      </w:r>
      <w:r>
        <w:rPr>
          <w:color w:val="000000" w:themeColor="text1"/>
        </w:rPr>
        <w:t xml:space="preserve">percent </w:t>
      </w:r>
      <w:r w:rsidR="004D4924">
        <w:rPr>
          <w:color w:val="000000" w:themeColor="text1"/>
        </w:rPr>
        <w:t xml:space="preserve">TP </w:t>
      </w:r>
      <w:r w:rsidR="007C065E">
        <w:rPr>
          <w:color w:val="000000" w:themeColor="text1"/>
        </w:rPr>
        <w:t xml:space="preserve">reduction credit for the filtered </w:t>
      </w:r>
      <w:r>
        <w:rPr>
          <w:color w:val="000000" w:themeColor="text1"/>
        </w:rPr>
        <w:t>volume associated with</w:t>
      </w:r>
      <w:r w:rsidR="007C065E">
        <w:rPr>
          <w:color w:val="000000" w:themeColor="text1"/>
        </w:rPr>
        <w:t xml:space="preserve"> a bioretention device, grass swale, and permeable pavement.     </w:t>
      </w:r>
      <w:r w:rsidR="008C212E">
        <w:rPr>
          <w:color w:val="000000" w:themeColor="text1"/>
        </w:rPr>
        <w:t xml:space="preserve">  </w:t>
      </w:r>
    </w:p>
    <w:p w:rsidR="003D6A40" w:rsidRPr="002350B1" w:rsidRDefault="003D6A40" w:rsidP="009D397B">
      <w:pPr>
        <w:spacing w:after="0"/>
        <w:ind w:left="360"/>
        <w:jc w:val="both"/>
        <w:rPr>
          <w:color w:val="000000" w:themeColor="text1"/>
        </w:rPr>
      </w:pPr>
      <w:r w:rsidRPr="00510F9A">
        <w:rPr>
          <w:color w:val="000000" w:themeColor="text1"/>
        </w:rPr>
        <w:t xml:space="preserve"> </w:t>
      </w:r>
    </w:p>
    <w:p w:rsidR="007C065E" w:rsidRDefault="009D397B" w:rsidP="007C065E">
      <w:pPr>
        <w:pStyle w:val="ListParagraph"/>
        <w:numPr>
          <w:ilvl w:val="0"/>
          <w:numId w:val="2"/>
        </w:numPr>
        <w:spacing w:after="0"/>
        <w:jc w:val="both"/>
        <w:rPr>
          <w:color w:val="000000" w:themeColor="text1"/>
        </w:rPr>
      </w:pPr>
      <w:r w:rsidRPr="00673D1D">
        <w:rPr>
          <w:b/>
          <w:color w:val="000000" w:themeColor="text1"/>
        </w:rPr>
        <w:t xml:space="preserve">Section </w:t>
      </w:r>
      <w:r w:rsidR="00A838D5">
        <w:rPr>
          <w:b/>
          <w:color w:val="000000" w:themeColor="text1"/>
        </w:rPr>
        <w:t>B</w:t>
      </w:r>
      <w:r w:rsidRPr="00673D1D">
        <w:rPr>
          <w:b/>
          <w:color w:val="000000" w:themeColor="text1"/>
        </w:rPr>
        <w:t xml:space="preserve">, </w:t>
      </w:r>
      <w:r w:rsidR="00FD020D">
        <w:rPr>
          <w:b/>
          <w:color w:val="000000" w:themeColor="text1"/>
        </w:rPr>
        <w:t>Item 6</w:t>
      </w:r>
      <w:r w:rsidRPr="00673D1D">
        <w:rPr>
          <w:b/>
          <w:color w:val="000000" w:themeColor="text1"/>
        </w:rPr>
        <w:t xml:space="preserve"> (page </w:t>
      </w:r>
      <w:r w:rsidR="00FD020D">
        <w:rPr>
          <w:b/>
          <w:color w:val="000000" w:themeColor="text1"/>
        </w:rPr>
        <w:t>4</w:t>
      </w:r>
      <w:r w:rsidRPr="00673D1D">
        <w:rPr>
          <w:b/>
          <w:color w:val="000000" w:themeColor="text1"/>
        </w:rPr>
        <w:t>)</w:t>
      </w:r>
      <w:r w:rsidRPr="00673D1D">
        <w:rPr>
          <w:color w:val="000000" w:themeColor="text1"/>
        </w:rPr>
        <w:t xml:space="preserve"> – </w:t>
      </w:r>
      <w:r w:rsidR="00FD020D">
        <w:rPr>
          <w:color w:val="000000" w:themeColor="text1"/>
        </w:rPr>
        <w:t>Please consider maintaining the “extra year” before the keep dates and eliminating the option for just a “month”.  A “month” may not always be sufficient</w:t>
      </w:r>
      <w:r w:rsidR="008C2AED">
        <w:rPr>
          <w:color w:val="000000" w:themeColor="text1"/>
        </w:rPr>
        <w:t>.  A</w:t>
      </w:r>
      <w:r w:rsidR="007C065E">
        <w:rPr>
          <w:color w:val="000000" w:themeColor="text1"/>
        </w:rPr>
        <w:t xml:space="preserve">s a </w:t>
      </w:r>
      <w:r w:rsidR="008C2AED">
        <w:rPr>
          <w:color w:val="000000" w:themeColor="text1"/>
        </w:rPr>
        <w:t xml:space="preserve">plan </w:t>
      </w:r>
      <w:r w:rsidR="007C065E">
        <w:rPr>
          <w:color w:val="000000" w:themeColor="text1"/>
        </w:rPr>
        <w:t>reviewer, a consistent duration will reduce potential confusion</w:t>
      </w:r>
      <w:r w:rsidR="00FD020D">
        <w:rPr>
          <w:color w:val="000000" w:themeColor="text1"/>
        </w:rPr>
        <w:t xml:space="preserve">.  </w:t>
      </w:r>
    </w:p>
    <w:p w:rsidR="0030681A" w:rsidRPr="002350B1" w:rsidRDefault="0030681A" w:rsidP="00177F3D">
      <w:pPr>
        <w:spacing w:after="0"/>
        <w:ind w:left="360"/>
        <w:jc w:val="both"/>
        <w:rPr>
          <w:color w:val="000000" w:themeColor="text1"/>
        </w:rPr>
      </w:pPr>
    </w:p>
    <w:p w:rsidR="00177F3D" w:rsidRPr="00177F3D" w:rsidRDefault="00177F3D" w:rsidP="00177F3D">
      <w:pPr>
        <w:pStyle w:val="ListParagraph"/>
        <w:numPr>
          <w:ilvl w:val="0"/>
          <w:numId w:val="2"/>
        </w:numPr>
        <w:spacing w:after="0"/>
        <w:jc w:val="both"/>
      </w:pPr>
      <w:r w:rsidRPr="00177F3D">
        <w:rPr>
          <w:b/>
          <w:color w:val="000000" w:themeColor="text1"/>
        </w:rPr>
        <w:t xml:space="preserve">Section </w:t>
      </w:r>
      <w:r w:rsidR="00A838D5">
        <w:rPr>
          <w:b/>
          <w:color w:val="000000" w:themeColor="text1"/>
        </w:rPr>
        <w:t>B</w:t>
      </w:r>
      <w:r w:rsidRPr="00177F3D">
        <w:rPr>
          <w:b/>
          <w:color w:val="000000" w:themeColor="text1"/>
        </w:rPr>
        <w:t xml:space="preserve">, </w:t>
      </w:r>
      <w:r w:rsidR="007C065E">
        <w:rPr>
          <w:b/>
          <w:color w:val="000000" w:themeColor="text1"/>
        </w:rPr>
        <w:t>Item 7</w:t>
      </w:r>
      <w:r w:rsidR="007C065E" w:rsidRPr="00673D1D">
        <w:rPr>
          <w:b/>
          <w:color w:val="000000" w:themeColor="text1"/>
        </w:rPr>
        <w:t xml:space="preserve"> (page </w:t>
      </w:r>
      <w:r w:rsidR="007C065E">
        <w:rPr>
          <w:b/>
          <w:color w:val="000000" w:themeColor="text1"/>
        </w:rPr>
        <w:t>4</w:t>
      </w:r>
      <w:r w:rsidR="007C065E" w:rsidRPr="00673D1D">
        <w:rPr>
          <w:b/>
          <w:color w:val="000000" w:themeColor="text1"/>
        </w:rPr>
        <w:t>)</w:t>
      </w:r>
      <w:r w:rsidR="007C065E" w:rsidRPr="00673D1D">
        <w:rPr>
          <w:color w:val="000000" w:themeColor="text1"/>
        </w:rPr>
        <w:t xml:space="preserve"> – </w:t>
      </w:r>
      <w:r w:rsidR="007C065E">
        <w:rPr>
          <w:color w:val="000000" w:themeColor="text1"/>
        </w:rPr>
        <w:t>For clarity, Item 7 is a good addition to the guidance document</w:t>
      </w:r>
      <w:r w:rsidR="005D366C">
        <w:rPr>
          <w:color w:val="000000" w:themeColor="text1"/>
        </w:rPr>
        <w:t>.</w:t>
      </w:r>
    </w:p>
    <w:p w:rsidR="00177F3D" w:rsidRPr="00177F3D" w:rsidRDefault="00177F3D" w:rsidP="00177F3D">
      <w:pPr>
        <w:pStyle w:val="ListParagraph"/>
        <w:rPr>
          <w:color w:val="000000" w:themeColor="text1"/>
        </w:rPr>
      </w:pPr>
    </w:p>
    <w:p w:rsidR="009363F3" w:rsidRPr="00512C7C" w:rsidRDefault="00177F3D" w:rsidP="009363F3">
      <w:pPr>
        <w:pStyle w:val="ListParagraph"/>
        <w:numPr>
          <w:ilvl w:val="0"/>
          <w:numId w:val="2"/>
        </w:numPr>
        <w:spacing w:after="0"/>
        <w:jc w:val="both"/>
      </w:pPr>
      <w:r w:rsidRPr="00177F3D">
        <w:rPr>
          <w:b/>
          <w:color w:val="000000" w:themeColor="text1"/>
        </w:rPr>
        <w:t xml:space="preserve">Section </w:t>
      </w:r>
      <w:r w:rsidR="00A838D5">
        <w:rPr>
          <w:b/>
          <w:color w:val="000000" w:themeColor="text1"/>
        </w:rPr>
        <w:t>B</w:t>
      </w:r>
      <w:r w:rsidRPr="00177F3D">
        <w:rPr>
          <w:b/>
          <w:color w:val="000000" w:themeColor="text1"/>
        </w:rPr>
        <w:t xml:space="preserve">, </w:t>
      </w:r>
      <w:r w:rsidR="00CF7DB1">
        <w:rPr>
          <w:b/>
          <w:color w:val="000000" w:themeColor="text1"/>
        </w:rPr>
        <w:t>Item 8 (page 5</w:t>
      </w:r>
      <w:r w:rsidRPr="00177F3D">
        <w:rPr>
          <w:b/>
          <w:color w:val="000000" w:themeColor="text1"/>
        </w:rPr>
        <w:t>)</w:t>
      </w:r>
      <w:r w:rsidRPr="00177F3D">
        <w:rPr>
          <w:color w:val="000000" w:themeColor="text1"/>
        </w:rPr>
        <w:t xml:space="preserve"> – Please consider modifying </w:t>
      </w:r>
      <w:r w:rsidR="00CF7DB1">
        <w:rPr>
          <w:color w:val="000000" w:themeColor="text1"/>
        </w:rPr>
        <w:t>the second sentence as follows</w:t>
      </w:r>
      <w:r w:rsidR="002F0968">
        <w:rPr>
          <w:color w:val="000000" w:themeColor="text1"/>
        </w:rPr>
        <w:t>:</w:t>
      </w:r>
      <w:r w:rsidR="00CF7DB1">
        <w:rPr>
          <w:color w:val="000000" w:themeColor="text1"/>
        </w:rPr>
        <w:t xml:space="preserve"> “Control of TSS</w:t>
      </w:r>
      <w:r w:rsidR="00B07BFA">
        <w:rPr>
          <w:color w:val="000000" w:themeColor="text1"/>
        </w:rPr>
        <w:t xml:space="preserve"> runoff</w:t>
      </w:r>
      <w:r w:rsidR="00CF7DB1">
        <w:rPr>
          <w:color w:val="000000" w:themeColor="text1"/>
        </w:rPr>
        <w:t xml:space="preserve"> that originates </w:t>
      </w:r>
      <w:r w:rsidR="00B07BFA">
        <w:rPr>
          <w:color w:val="000000" w:themeColor="text1"/>
        </w:rPr>
        <w:t xml:space="preserve">from a </w:t>
      </w:r>
      <w:r w:rsidR="00404CB6">
        <w:rPr>
          <w:color w:val="000000" w:themeColor="text1"/>
        </w:rPr>
        <w:t xml:space="preserve">different </w:t>
      </w:r>
      <w:r w:rsidR="00B07BFA">
        <w:rPr>
          <w:color w:val="000000" w:themeColor="text1"/>
        </w:rPr>
        <w:t>landowner</w:t>
      </w:r>
      <w:r w:rsidR="00CF7DB1">
        <w:rPr>
          <w:color w:val="000000" w:themeColor="text1"/>
        </w:rPr>
        <w:t xml:space="preserve"> does not count toward meeting the </w:t>
      </w:r>
      <w:r w:rsidR="000412B2">
        <w:rPr>
          <w:color w:val="000000" w:themeColor="text1"/>
        </w:rPr>
        <w:t xml:space="preserve">post-construction </w:t>
      </w:r>
      <w:r w:rsidR="00915A1A">
        <w:rPr>
          <w:color w:val="000000" w:themeColor="text1"/>
        </w:rPr>
        <w:t xml:space="preserve">site’s </w:t>
      </w:r>
      <w:r w:rsidR="000412B2">
        <w:rPr>
          <w:color w:val="000000" w:themeColor="text1"/>
        </w:rPr>
        <w:t>TSS</w:t>
      </w:r>
      <w:r w:rsidR="00915A1A">
        <w:rPr>
          <w:color w:val="000000" w:themeColor="text1"/>
        </w:rPr>
        <w:t xml:space="preserve"> performance </w:t>
      </w:r>
      <w:r w:rsidR="00CF7DB1">
        <w:rPr>
          <w:color w:val="000000" w:themeColor="text1"/>
        </w:rPr>
        <w:t>standard.</w:t>
      </w:r>
      <w:r w:rsidR="00915A1A">
        <w:rPr>
          <w:color w:val="000000" w:themeColor="text1"/>
        </w:rPr>
        <w:t xml:space="preserve">  Control of TSS </w:t>
      </w:r>
      <w:r w:rsidR="00B07BFA">
        <w:rPr>
          <w:color w:val="000000" w:themeColor="text1"/>
        </w:rPr>
        <w:t xml:space="preserve">runoff </w:t>
      </w:r>
      <w:r w:rsidR="00915A1A">
        <w:rPr>
          <w:color w:val="000000" w:themeColor="text1"/>
        </w:rPr>
        <w:t xml:space="preserve">that originates from the same landowner, but originates outside the </w:t>
      </w:r>
      <w:r w:rsidR="000412B2">
        <w:rPr>
          <w:color w:val="000000" w:themeColor="text1"/>
        </w:rPr>
        <w:t>post-</w:t>
      </w:r>
      <w:r w:rsidR="00915A1A">
        <w:rPr>
          <w:color w:val="000000" w:themeColor="text1"/>
        </w:rPr>
        <w:t xml:space="preserve">construction site’s limits of disturbance, does count </w:t>
      </w:r>
      <w:r w:rsidR="00915A1A">
        <w:rPr>
          <w:color w:val="000000" w:themeColor="text1"/>
        </w:rPr>
        <w:lastRenderedPageBreak/>
        <w:t xml:space="preserve">toward meeting the </w:t>
      </w:r>
      <w:r w:rsidR="00B07BFA">
        <w:rPr>
          <w:color w:val="000000" w:themeColor="text1"/>
        </w:rPr>
        <w:t xml:space="preserve">post-construction site’s </w:t>
      </w:r>
      <w:r w:rsidR="000412B2">
        <w:rPr>
          <w:color w:val="000000" w:themeColor="text1"/>
        </w:rPr>
        <w:t>TSS</w:t>
      </w:r>
      <w:r w:rsidR="00915A1A">
        <w:rPr>
          <w:color w:val="000000" w:themeColor="text1"/>
        </w:rPr>
        <w:t xml:space="preserve"> performance standard.” </w:t>
      </w:r>
      <w:r w:rsidR="000A4D0F">
        <w:rPr>
          <w:color w:val="000000" w:themeColor="text1"/>
        </w:rPr>
        <w:t xml:space="preserve"> An example calculation is provided as follows:</w:t>
      </w:r>
      <w:r w:rsidR="00915A1A">
        <w:rPr>
          <w:color w:val="000000" w:themeColor="text1"/>
        </w:rPr>
        <w:t xml:space="preserve">   </w:t>
      </w:r>
    </w:p>
    <w:p w:rsidR="00512C7C" w:rsidRDefault="00512C7C" w:rsidP="00512C7C">
      <w:pPr>
        <w:pStyle w:val="ListParagraph"/>
      </w:pPr>
    </w:p>
    <w:p w:rsidR="000A4D0F" w:rsidRDefault="00E62A2D" w:rsidP="00512C7C">
      <w:pPr>
        <w:pStyle w:val="ListParagraph"/>
        <w:numPr>
          <w:ilvl w:val="1"/>
          <w:numId w:val="2"/>
        </w:numPr>
        <w:spacing w:after="0"/>
        <w:jc w:val="both"/>
      </w:pPr>
      <w:r>
        <w:t xml:space="preserve">Jessica </w:t>
      </w:r>
      <w:r w:rsidR="00512C7C">
        <w:t xml:space="preserve">plans to redevelop 8 acres of </w:t>
      </w:r>
      <w:r>
        <w:t xml:space="preserve">her existing </w:t>
      </w:r>
      <w:r w:rsidR="00A2191B">
        <w:t xml:space="preserve">40 acre </w:t>
      </w:r>
      <w:r>
        <w:t xml:space="preserve">commercial </w:t>
      </w:r>
      <w:r w:rsidR="00512C7C">
        <w:t xml:space="preserve">property.  </w:t>
      </w:r>
      <w:r>
        <w:t>Jessica’s</w:t>
      </w:r>
      <w:r w:rsidR="00512C7C">
        <w:t xml:space="preserve"> post-construction site is 8 acres in size.  Based on the TMDL, a 65% TSS reduction is required for </w:t>
      </w:r>
      <w:r>
        <w:t>her</w:t>
      </w:r>
      <w:r w:rsidR="00512C7C">
        <w:t xml:space="preserve"> </w:t>
      </w:r>
      <w:r w:rsidR="00A2191B">
        <w:t xml:space="preserve">8 acre </w:t>
      </w:r>
      <w:r w:rsidR="00512C7C">
        <w:t xml:space="preserve">post-construction site.  </w:t>
      </w:r>
    </w:p>
    <w:p w:rsidR="000A4D0F" w:rsidRDefault="000A4D0F" w:rsidP="000A4D0F">
      <w:pPr>
        <w:spacing w:after="0"/>
        <w:ind w:left="1440"/>
        <w:jc w:val="both"/>
      </w:pPr>
    </w:p>
    <w:p w:rsidR="000A4D0F" w:rsidRDefault="00E62A2D" w:rsidP="000A4D0F">
      <w:pPr>
        <w:spacing w:after="0"/>
        <w:ind w:left="1440"/>
        <w:jc w:val="both"/>
      </w:pPr>
      <w:r>
        <w:t>Jessica</w:t>
      </w:r>
      <w:r w:rsidR="00512C7C">
        <w:t xml:space="preserve"> plans to construct a wet detention pond within </w:t>
      </w:r>
      <w:r w:rsidR="000A4D0F">
        <w:t>her</w:t>
      </w:r>
      <w:r w:rsidR="00512C7C">
        <w:t xml:space="preserve"> 8 acre </w:t>
      </w:r>
      <w:r w:rsidR="000A4D0F">
        <w:t xml:space="preserve">post-construction </w:t>
      </w:r>
      <w:r w:rsidR="00512C7C">
        <w:t>site.</w:t>
      </w:r>
      <w:r w:rsidR="0074157A">
        <w:t xml:space="preserve">  The pond watershed is 2</w:t>
      </w:r>
      <w:r w:rsidR="00512C7C">
        <w:t xml:space="preserve">0 acre </w:t>
      </w:r>
      <w:r w:rsidR="0074157A">
        <w:t>in size</w:t>
      </w:r>
      <w:r w:rsidR="00512C7C">
        <w:t xml:space="preserve">.  Of the 20 acre pond watershed, </w:t>
      </w:r>
      <w:r w:rsidR="0074157A">
        <w:t xml:space="preserve">7 acres are located </w:t>
      </w:r>
      <w:r>
        <w:t>on Brent’s adjacent property</w:t>
      </w:r>
      <w:r w:rsidR="0074157A">
        <w:t xml:space="preserve">, </w:t>
      </w:r>
      <w:r w:rsidR="00512C7C">
        <w:t>1</w:t>
      </w:r>
      <w:r w:rsidR="0074157A">
        <w:t>0</w:t>
      </w:r>
      <w:r w:rsidR="00512C7C">
        <w:t xml:space="preserve"> acres are located </w:t>
      </w:r>
      <w:r w:rsidR="0074157A">
        <w:t xml:space="preserve">within </w:t>
      </w:r>
      <w:r>
        <w:t>Jessica’s</w:t>
      </w:r>
      <w:r w:rsidR="0074157A">
        <w:t xml:space="preserve"> </w:t>
      </w:r>
      <w:r w:rsidR="00A2191B">
        <w:t xml:space="preserve">40 acre </w:t>
      </w:r>
      <w:r w:rsidR="0074157A">
        <w:t xml:space="preserve">property but </w:t>
      </w:r>
      <w:r w:rsidR="00512C7C">
        <w:t xml:space="preserve">outside </w:t>
      </w:r>
      <w:r>
        <w:t>her</w:t>
      </w:r>
      <w:r w:rsidR="00512C7C">
        <w:t xml:space="preserve"> </w:t>
      </w:r>
      <w:r w:rsidR="00A2191B">
        <w:t xml:space="preserve">8 acre </w:t>
      </w:r>
      <w:r w:rsidR="00512C7C">
        <w:t>post-construction site</w:t>
      </w:r>
      <w:r w:rsidR="0074157A">
        <w:t>,</w:t>
      </w:r>
      <w:r w:rsidR="00512C7C">
        <w:t xml:space="preserve"> and 3 acres are located within </w:t>
      </w:r>
      <w:r w:rsidR="000A4D0F">
        <w:t xml:space="preserve">both </w:t>
      </w:r>
      <w:r w:rsidR="006C207E">
        <w:t>Jessica’s</w:t>
      </w:r>
      <w:r w:rsidR="00512C7C">
        <w:t xml:space="preserve"> </w:t>
      </w:r>
      <w:r w:rsidR="00A2191B">
        <w:t xml:space="preserve">40 acre </w:t>
      </w:r>
      <w:r w:rsidR="0074157A">
        <w:t xml:space="preserve">property and </w:t>
      </w:r>
      <w:r w:rsidR="006C207E">
        <w:t>her</w:t>
      </w:r>
      <w:r w:rsidR="00A2191B">
        <w:t xml:space="preserve"> 8 acre </w:t>
      </w:r>
      <w:r w:rsidR="00512C7C">
        <w:t>post-construction site.</w:t>
      </w:r>
      <w:r w:rsidR="00A2191B">
        <w:t xml:space="preserve">  </w:t>
      </w:r>
    </w:p>
    <w:p w:rsidR="000A4D0F" w:rsidRDefault="000A4D0F" w:rsidP="000A4D0F">
      <w:pPr>
        <w:spacing w:after="0"/>
        <w:ind w:left="1440"/>
        <w:jc w:val="both"/>
      </w:pPr>
    </w:p>
    <w:p w:rsidR="0074157A" w:rsidRDefault="006C207E" w:rsidP="000A4D0F">
      <w:pPr>
        <w:spacing w:after="0"/>
        <w:ind w:left="1440"/>
        <w:jc w:val="both"/>
      </w:pPr>
      <w:r>
        <w:t>Jessica’s</w:t>
      </w:r>
      <w:r w:rsidR="00A2191B">
        <w:t xml:space="preserve"> 40 acre commercial property and </w:t>
      </w:r>
      <w:r>
        <w:t>Brent’s</w:t>
      </w:r>
      <w:r w:rsidR="00A2191B">
        <w:t xml:space="preserve"> 7 acre </w:t>
      </w:r>
      <w:r>
        <w:t xml:space="preserve">commercial </w:t>
      </w:r>
      <w:r w:rsidR="00A2191B">
        <w:t xml:space="preserve">property both have a no controls TSS loading rate of 500 </w:t>
      </w:r>
      <w:proofErr w:type="spellStart"/>
      <w:r w:rsidR="00A2191B">
        <w:t>lbs</w:t>
      </w:r>
      <w:proofErr w:type="spellEnd"/>
      <w:r w:rsidR="00A2191B">
        <w:t>/acre.  The TSS calculations are as follows:</w:t>
      </w:r>
      <w:r w:rsidR="00512C7C">
        <w:t xml:space="preserve">  </w:t>
      </w:r>
      <w:r w:rsidR="0074157A">
        <w:t xml:space="preserve">  </w:t>
      </w:r>
    </w:p>
    <w:p w:rsidR="000A4D0F" w:rsidRDefault="000A4D0F" w:rsidP="000A4D0F">
      <w:pPr>
        <w:spacing w:after="0"/>
        <w:ind w:left="1440"/>
        <w:jc w:val="both"/>
      </w:pPr>
    </w:p>
    <w:p w:rsidR="00512C7C" w:rsidRDefault="00A2191B" w:rsidP="0074157A">
      <w:pPr>
        <w:pStyle w:val="ListParagraph"/>
        <w:numPr>
          <w:ilvl w:val="2"/>
          <w:numId w:val="2"/>
        </w:numPr>
        <w:spacing w:after="0"/>
        <w:jc w:val="both"/>
      </w:pPr>
      <w:r>
        <w:t>No Controls</w:t>
      </w:r>
      <w:r w:rsidR="0074157A">
        <w:t xml:space="preserve"> TSS Load </w:t>
      </w:r>
      <w:r w:rsidR="006C207E">
        <w:t xml:space="preserve">for Post-Const. Site </w:t>
      </w:r>
      <w:r w:rsidR="0074157A">
        <w:t xml:space="preserve">= 8 acres x 500 </w:t>
      </w:r>
      <w:proofErr w:type="spellStart"/>
      <w:r w:rsidR="0074157A">
        <w:t>lbs</w:t>
      </w:r>
      <w:proofErr w:type="spellEnd"/>
      <w:r w:rsidR="0074157A">
        <w:t xml:space="preserve">/acre = 4,000 </w:t>
      </w:r>
      <w:proofErr w:type="spellStart"/>
      <w:r w:rsidR="0074157A">
        <w:t>lbs</w:t>
      </w:r>
      <w:proofErr w:type="spellEnd"/>
    </w:p>
    <w:p w:rsidR="0074157A" w:rsidRDefault="0074157A" w:rsidP="0074157A">
      <w:pPr>
        <w:pStyle w:val="ListParagraph"/>
        <w:numPr>
          <w:ilvl w:val="2"/>
          <w:numId w:val="2"/>
        </w:numPr>
        <w:spacing w:after="0"/>
        <w:jc w:val="both"/>
      </w:pPr>
      <w:r>
        <w:t xml:space="preserve">TSS Reduction Goal </w:t>
      </w:r>
      <w:r w:rsidR="006C207E">
        <w:t xml:space="preserve">for Post-Const. Site </w:t>
      </w:r>
      <w:r>
        <w:t xml:space="preserve">= 4,000 </w:t>
      </w:r>
      <w:proofErr w:type="spellStart"/>
      <w:r>
        <w:t>lbs</w:t>
      </w:r>
      <w:proofErr w:type="spellEnd"/>
      <w:r>
        <w:t xml:space="preserve"> x 65% = 2,000 </w:t>
      </w:r>
      <w:proofErr w:type="spellStart"/>
      <w:r>
        <w:t>lbs</w:t>
      </w:r>
      <w:proofErr w:type="spellEnd"/>
    </w:p>
    <w:p w:rsidR="0074157A" w:rsidRDefault="0074157A" w:rsidP="0074157A">
      <w:pPr>
        <w:pStyle w:val="ListParagraph"/>
        <w:numPr>
          <w:ilvl w:val="2"/>
          <w:numId w:val="2"/>
        </w:numPr>
        <w:spacing w:after="0"/>
        <w:jc w:val="both"/>
      </w:pPr>
      <w:r>
        <w:t xml:space="preserve">TSS Reduction Provided by Pond = 20 acres x 500 </w:t>
      </w:r>
      <w:proofErr w:type="spellStart"/>
      <w:r>
        <w:t>lbs</w:t>
      </w:r>
      <w:proofErr w:type="spellEnd"/>
      <w:r>
        <w:t xml:space="preserve">/acre x 80% = 8,000 </w:t>
      </w:r>
      <w:proofErr w:type="spellStart"/>
      <w:r>
        <w:t>lbs</w:t>
      </w:r>
      <w:proofErr w:type="spellEnd"/>
    </w:p>
    <w:p w:rsidR="0074157A" w:rsidRDefault="0074157A" w:rsidP="0074157A">
      <w:pPr>
        <w:pStyle w:val="ListParagraph"/>
        <w:numPr>
          <w:ilvl w:val="2"/>
          <w:numId w:val="2"/>
        </w:numPr>
        <w:spacing w:after="0"/>
        <w:jc w:val="both"/>
      </w:pPr>
      <w:r>
        <w:t xml:space="preserve">TSS Reduction </w:t>
      </w:r>
      <w:r w:rsidR="00A2191B">
        <w:t xml:space="preserve">Credit </w:t>
      </w:r>
      <w:r>
        <w:t xml:space="preserve">Provided to </w:t>
      </w:r>
      <w:r w:rsidR="006C207E">
        <w:t>Jessica</w:t>
      </w:r>
      <w:r w:rsidR="00A2191B">
        <w:t>:</w:t>
      </w:r>
      <w:r>
        <w:t xml:space="preserve"> </w:t>
      </w:r>
    </w:p>
    <w:p w:rsidR="0074157A" w:rsidRDefault="0074157A" w:rsidP="0074157A">
      <w:pPr>
        <w:pStyle w:val="ListParagraph"/>
        <w:numPr>
          <w:ilvl w:val="3"/>
          <w:numId w:val="2"/>
        </w:numPr>
        <w:spacing w:after="0"/>
        <w:jc w:val="both"/>
      </w:pPr>
      <w:r>
        <w:t>Within Post-Const</w:t>
      </w:r>
      <w:r w:rsidR="00A2191B">
        <w:t>.</w:t>
      </w:r>
      <w:r>
        <w:t xml:space="preserve"> Site = 3 acres x 500 </w:t>
      </w:r>
      <w:proofErr w:type="spellStart"/>
      <w:r>
        <w:t>lbs</w:t>
      </w:r>
      <w:proofErr w:type="spellEnd"/>
      <w:r>
        <w:t xml:space="preserve">/acre x 80% = 1,200 </w:t>
      </w:r>
      <w:proofErr w:type="spellStart"/>
      <w:r>
        <w:t>lbs</w:t>
      </w:r>
      <w:proofErr w:type="spellEnd"/>
    </w:p>
    <w:p w:rsidR="0074157A" w:rsidRDefault="0074157A" w:rsidP="0074157A">
      <w:pPr>
        <w:pStyle w:val="ListParagraph"/>
        <w:numPr>
          <w:ilvl w:val="3"/>
          <w:numId w:val="2"/>
        </w:numPr>
        <w:spacing w:after="0"/>
        <w:jc w:val="both"/>
      </w:pPr>
      <w:r>
        <w:t>Outside Post-</w:t>
      </w:r>
      <w:proofErr w:type="spellStart"/>
      <w:r>
        <w:t>Const</w:t>
      </w:r>
      <w:proofErr w:type="spellEnd"/>
      <w:r>
        <w:t xml:space="preserve"> Site = 10 acres x 500 </w:t>
      </w:r>
      <w:proofErr w:type="spellStart"/>
      <w:r>
        <w:t>lbs</w:t>
      </w:r>
      <w:proofErr w:type="spellEnd"/>
      <w:r>
        <w:t xml:space="preserve">/acre x 80% = </w:t>
      </w:r>
      <w:r w:rsidR="00A2191B">
        <w:t>4</w:t>
      </w:r>
      <w:r>
        <w:t xml:space="preserve">,000 </w:t>
      </w:r>
      <w:proofErr w:type="spellStart"/>
      <w:r>
        <w:t>lbs</w:t>
      </w:r>
      <w:proofErr w:type="spellEnd"/>
    </w:p>
    <w:p w:rsidR="0074157A" w:rsidRDefault="0074157A" w:rsidP="0074157A">
      <w:pPr>
        <w:pStyle w:val="ListParagraph"/>
        <w:numPr>
          <w:ilvl w:val="3"/>
          <w:numId w:val="2"/>
        </w:numPr>
        <w:spacing w:after="0"/>
        <w:jc w:val="both"/>
      </w:pPr>
      <w:r>
        <w:t xml:space="preserve">Total = 1,200 </w:t>
      </w:r>
      <w:proofErr w:type="spellStart"/>
      <w:r>
        <w:t>lbs</w:t>
      </w:r>
      <w:proofErr w:type="spellEnd"/>
      <w:r>
        <w:t xml:space="preserve"> + </w:t>
      </w:r>
      <w:r w:rsidR="00460AD2">
        <w:t>4</w:t>
      </w:r>
      <w:r>
        <w:t xml:space="preserve">,000 </w:t>
      </w:r>
      <w:proofErr w:type="spellStart"/>
      <w:r>
        <w:t>lbs</w:t>
      </w:r>
      <w:proofErr w:type="spellEnd"/>
      <w:r>
        <w:t xml:space="preserve"> = </w:t>
      </w:r>
      <w:r w:rsidR="00460AD2">
        <w:t>5</w:t>
      </w:r>
      <w:r>
        <w:t xml:space="preserve">,200 </w:t>
      </w:r>
      <w:proofErr w:type="spellStart"/>
      <w:r>
        <w:t>lbs</w:t>
      </w:r>
      <w:proofErr w:type="spellEnd"/>
      <w:r>
        <w:t xml:space="preserve"> removed</w:t>
      </w:r>
      <w:r w:rsidR="00460AD2">
        <w:t xml:space="preserve"> by pond</w:t>
      </w:r>
    </w:p>
    <w:p w:rsidR="000A4D0F" w:rsidRDefault="000A4D0F" w:rsidP="00A2191B">
      <w:pPr>
        <w:spacing w:after="0"/>
        <w:ind w:left="1440"/>
        <w:jc w:val="both"/>
      </w:pPr>
    </w:p>
    <w:p w:rsidR="00AF19C9" w:rsidRDefault="00A2191B" w:rsidP="00A2191B">
      <w:pPr>
        <w:spacing w:after="0"/>
        <w:ind w:left="1440"/>
        <w:jc w:val="both"/>
      </w:pPr>
      <w:r>
        <w:t xml:space="preserve">In this example, </w:t>
      </w:r>
      <w:r w:rsidR="006C207E">
        <w:t>Jessica</w:t>
      </w:r>
      <w:r>
        <w:t xml:space="preserve"> achieves a </w:t>
      </w:r>
      <w:r w:rsidR="00460AD2">
        <w:t>5</w:t>
      </w:r>
      <w:r>
        <w:t xml:space="preserve">,200 </w:t>
      </w:r>
      <w:proofErr w:type="spellStart"/>
      <w:r>
        <w:t>lb</w:t>
      </w:r>
      <w:proofErr w:type="spellEnd"/>
      <w:r>
        <w:t xml:space="preserve"> TSS reduction, which achieves the 2,000 </w:t>
      </w:r>
      <w:proofErr w:type="spellStart"/>
      <w:r>
        <w:t>lb</w:t>
      </w:r>
      <w:proofErr w:type="spellEnd"/>
      <w:r>
        <w:t xml:space="preserve"> TSS reduction goal</w:t>
      </w:r>
      <w:r w:rsidR="006C207E">
        <w:t xml:space="preserve"> for her 8 acre post-construction site</w:t>
      </w:r>
      <w:r>
        <w:t xml:space="preserve">.  </w:t>
      </w:r>
      <w:r w:rsidR="006C207E">
        <w:t>Jessica</w:t>
      </w:r>
      <w:r>
        <w:t xml:space="preserve"> will reserve the extra </w:t>
      </w:r>
      <w:r w:rsidR="00460AD2">
        <w:t>3</w:t>
      </w:r>
      <w:r>
        <w:t xml:space="preserve">,200 </w:t>
      </w:r>
      <w:proofErr w:type="spellStart"/>
      <w:r>
        <w:t>lb</w:t>
      </w:r>
      <w:proofErr w:type="spellEnd"/>
      <w:r>
        <w:t xml:space="preserve"> TSS reduction (</w:t>
      </w:r>
      <w:r w:rsidR="00460AD2">
        <w:t>5</w:t>
      </w:r>
      <w:r>
        <w:t xml:space="preserve">,200 minus 2,000) for future post-construction projects </w:t>
      </w:r>
      <w:r w:rsidR="000A4D0F">
        <w:t>within</w:t>
      </w:r>
      <w:r>
        <w:t xml:space="preserve"> h</w:t>
      </w:r>
      <w:r w:rsidR="006C207E">
        <w:t>er</w:t>
      </w:r>
      <w:r>
        <w:t xml:space="preserve"> 40 acre property.</w:t>
      </w:r>
      <w:r w:rsidR="006C207E">
        <w:t xml:space="preserve">  Jessica </w:t>
      </w:r>
      <w:r>
        <w:t xml:space="preserve">cannot take credit for the 2,800 </w:t>
      </w:r>
      <w:proofErr w:type="spellStart"/>
      <w:r>
        <w:t>lb</w:t>
      </w:r>
      <w:proofErr w:type="spellEnd"/>
      <w:r>
        <w:t xml:space="preserve"> TSS reduction provided by </w:t>
      </w:r>
      <w:r w:rsidR="006C207E">
        <w:t>her</w:t>
      </w:r>
      <w:r>
        <w:t xml:space="preserve"> </w:t>
      </w:r>
      <w:r w:rsidR="006C207E">
        <w:t xml:space="preserve">wet </w:t>
      </w:r>
      <w:r>
        <w:t xml:space="preserve">pond for </w:t>
      </w:r>
      <w:r w:rsidR="006C207E">
        <w:t xml:space="preserve">Brent’s </w:t>
      </w:r>
      <w:r w:rsidR="00460AD2">
        <w:t xml:space="preserve">7 acres </w:t>
      </w:r>
      <w:r w:rsidR="006C207E">
        <w:t>of</w:t>
      </w:r>
      <w:r w:rsidR="00460AD2">
        <w:t xml:space="preserve"> </w:t>
      </w:r>
      <w:r w:rsidR="000A4D0F">
        <w:t xml:space="preserve">off-site </w:t>
      </w:r>
      <w:r>
        <w:t xml:space="preserve">property (7 acres x 500 </w:t>
      </w:r>
      <w:proofErr w:type="spellStart"/>
      <w:r>
        <w:t>lbs</w:t>
      </w:r>
      <w:proofErr w:type="spellEnd"/>
      <w:r>
        <w:t>/acre x 80%).</w:t>
      </w:r>
      <w:r w:rsidR="00AF19C9">
        <w:t xml:space="preserve">  </w:t>
      </w:r>
    </w:p>
    <w:p w:rsidR="00AF19C9" w:rsidRDefault="00AF19C9" w:rsidP="00A2191B">
      <w:pPr>
        <w:spacing w:after="0"/>
        <w:ind w:left="1440"/>
        <w:jc w:val="both"/>
      </w:pPr>
    </w:p>
    <w:p w:rsidR="00A2191B" w:rsidRDefault="006C207E" w:rsidP="00A2191B">
      <w:pPr>
        <w:spacing w:after="0"/>
        <w:ind w:left="1440"/>
        <w:jc w:val="both"/>
      </w:pPr>
      <w:r>
        <w:t>Five years later, Brent</w:t>
      </w:r>
      <w:r w:rsidR="00AF19C9">
        <w:t xml:space="preserve"> </w:t>
      </w:r>
      <w:r>
        <w:t xml:space="preserve">decides to redevelop his 7 acres of property that drains into Jessica’s wet pond.  Brent </w:t>
      </w:r>
      <w:r w:rsidR="00AF19C9">
        <w:t xml:space="preserve">may not take </w:t>
      </w:r>
      <w:r>
        <w:t xml:space="preserve">post-construction </w:t>
      </w:r>
      <w:r w:rsidR="00AF19C9">
        <w:t xml:space="preserve">credit for the 2,800 </w:t>
      </w:r>
      <w:proofErr w:type="spellStart"/>
      <w:r w:rsidR="00AF19C9">
        <w:t>lb</w:t>
      </w:r>
      <w:proofErr w:type="spellEnd"/>
      <w:r w:rsidR="00AF19C9">
        <w:t xml:space="preserve"> TSS reduction provided by </w:t>
      </w:r>
      <w:r>
        <w:t xml:space="preserve">Jessica’s wet </w:t>
      </w:r>
      <w:r w:rsidR="00AF19C9">
        <w:t xml:space="preserve">pond without first obtaining an owner approval letter from </w:t>
      </w:r>
      <w:r>
        <w:t>Jessica</w:t>
      </w:r>
      <w:r w:rsidR="00AF19C9">
        <w:t>.</w:t>
      </w:r>
      <w:r>
        <w:t xml:space="preserve">  Jessica will likely charge Brent for a portion of wet pond costs before issuing an owner approval letter </w:t>
      </w:r>
      <w:r w:rsidR="000A4D0F">
        <w:t>for</w:t>
      </w:r>
      <w:r>
        <w:t xml:space="preserve"> Brent.  As part of the post-construction permit process, both the Wisconsin DNR and the local municipality will require Brent to either install a separate BMP for his 7 acre</w:t>
      </w:r>
      <w:r w:rsidR="000A4D0F">
        <w:t xml:space="preserve"> post-construction site</w:t>
      </w:r>
      <w:r>
        <w:t xml:space="preserve"> or obtain an owner approval letter from Jessica</w:t>
      </w:r>
      <w:r w:rsidR="000A4D0F">
        <w:t xml:space="preserve"> for the wet pond </w:t>
      </w:r>
      <w:r>
        <w:t xml:space="preserve">before issuing a </w:t>
      </w:r>
      <w:r w:rsidR="000A4D0F">
        <w:t>p</w:t>
      </w:r>
      <w:r>
        <w:t xml:space="preserve">ermit to Brent. </w:t>
      </w:r>
      <w:r w:rsidR="00A2191B">
        <w:t xml:space="preserve">  </w:t>
      </w:r>
    </w:p>
    <w:p w:rsidR="00AF19C9" w:rsidRDefault="00AF19C9" w:rsidP="00A2191B">
      <w:pPr>
        <w:spacing w:after="0"/>
        <w:ind w:left="1440"/>
        <w:jc w:val="both"/>
      </w:pPr>
    </w:p>
    <w:p w:rsidR="00B066E2" w:rsidRDefault="0033224F" w:rsidP="00A6193C">
      <w:pPr>
        <w:pStyle w:val="ListParagraph"/>
        <w:numPr>
          <w:ilvl w:val="0"/>
          <w:numId w:val="2"/>
        </w:numPr>
        <w:spacing w:after="0"/>
        <w:jc w:val="both"/>
        <w:rPr>
          <w:color w:val="000000" w:themeColor="text1"/>
        </w:rPr>
      </w:pPr>
      <w:r w:rsidRPr="00177F3D">
        <w:rPr>
          <w:b/>
          <w:color w:val="000000" w:themeColor="text1"/>
        </w:rPr>
        <w:t xml:space="preserve">Section </w:t>
      </w:r>
      <w:r>
        <w:rPr>
          <w:b/>
          <w:color w:val="000000" w:themeColor="text1"/>
        </w:rPr>
        <w:t>B</w:t>
      </w:r>
      <w:r w:rsidRPr="00177F3D">
        <w:rPr>
          <w:b/>
          <w:color w:val="000000" w:themeColor="text1"/>
        </w:rPr>
        <w:t xml:space="preserve">, </w:t>
      </w:r>
      <w:r>
        <w:rPr>
          <w:b/>
          <w:color w:val="000000" w:themeColor="text1"/>
        </w:rPr>
        <w:t>Item 14 (page 6</w:t>
      </w:r>
      <w:r w:rsidRPr="00177F3D">
        <w:rPr>
          <w:b/>
          <w:color w:val="000000" w:themeColor="text1"/>
        </w:rPr>
        <w:t>)</w:t>
      </w:r>
      <w:r w:rsidRPr="00177F3D">
        <w:rPr>
          <w:color w:val="000000" w:themeColor="text1"/>
        </w:rPr>
        <w:t xml:space="preserve"> – Please consider modifying </w:t>
      </w:r>
      <w:r>
        <w:rPr>
          <w:color w:val="000000" w:themeColor="text1"/>
        </w:rPr>
        <w:t>the second sentence as follows</w:t>
      </w:r>
      <w:r w:rsidR="002F0968">
        <w:rPr>
          <w:color w:val="000000" w:themeColor="text1"/>
        </w:rPr>
        <w:t>:</w:t>
      </w:r>
      <w:r>
        <w:rPr>
          <w:color w:val="000000" w:themeColor="text1"/>
        </w:rPr>
        <w:t xml:space="preserve"> “However, it is recommended that peak flows not be increased at each site outfall.  The purpose </w:t>
      </w:r>
      <w:r>
        <w:rPr>
          <w:color w:val="000000" w:themeColor="text1"/>
        </w:rPr>
        <w:lastRenderedPageBreak/>
        <w:t>of 1 and 2-year peak flow control is to reduce the potential for off-site stream and river erosion.</w:t>
      </w:r>
      <w:r w:rsidR="002F0968">
        <w:rPr>
          <w:color w:val="000000" w:themeColor="text1"/>
        </w:rPr>
        <w:t xml:space="preserve">  The site</w:t>
      </w:r>
      <w:r w:rsidR="008C2AED">
        <w:rPr>
          <w:color w:val="000000" w:themeColor="text1"/>
        </w:rPr>
        <w:t>’s</w:t>
      </w:r>
      <w:r w:rsidR="002F0968">
        <w:rPr>
          <w:color w:val="000000" w:themeColor="text1"/>
        </w:rPr>
        <w:t xml:space="preserve"> outfalls may discharge</w:t>
      </w:r>
      <w:r w:rsidR="00C92014">
        <w:rPr>
          <w:color w:val="000000" w:themeColor="text1"/>
        </w:rPr>
        <w:t xml:space="preserve"> to different stream segments or different municipal systems.</w:t>
      </w:r>
      <w:r>
        <w:rPr>
          <w:color w:val="000000" w:themeColor="text1"/>
        </w:rPr>
        <w:t xml:space="preserve">” </w:t>
      </w:r>
    </w:p>
    <w:p w:rsidR="00B066E2" w:rsidRPr="00B066E2" w:rsidRDefault="00B066E2" w:rsidP="00B066E2">
      <w:pPr>
        <w:pStyle w:val="ListParagraph"/>
        <w:rPr>
          <w:color w:val="000000" w:themeColor="text1"/>
        </w:rPr>
      </w:pPr>
    </w:p>
    <w:p w:rsidR="0084640B" w:rsidRDefault="00F946F6" w:rsidP="00A6193C">
      <w:pPr>
        <w:pStyle w:val="ListParagraph"/>
        <w:numPr>
          <w:ilvl w:val="0"/>
          <w:numId w:val="2"/>
        </w:numPr>
        <w:spacing w:after="0"/>
        <w:jc w:val="both"/>
        <w:rPr>
          <w:color w:val="000000" w:themeColor="text1"/>
        </w:rPr>
      </w:pPr>
      <w:r w:rsidRPr="00177F3D">
        <w:rPr>
          <w:b/>
          <w:color w:val="000000" w:themeColor="text1"/>
        </w:rPr>
        <w:t xml:space="preserve">Section </w:t>
      </w:r>
      <w:r>
        <w:rPr>
          <w:b/>
          <w:color w:val="000000" w:themeColor="text1"/>
        </w:rPr>
        <w:t>B</w:t>
      </w:r>
      <w:r w:rsidRPr="00177F3D">
        <w:rPr>
          <w:b/>
          <w:color w:val="000000" w:themeColor="text1"/>
        </w:rPr>
        <w:t xml:space="preserve">, </w:t>
      </w:r>
      <w:r>
        <w:rPr>
          <w:b/>
          <w:color w:val="000000" w:themeColor="text1"/>
        </w:rPr>
        <w:t>Item 21 (page 7</w:t>
      </w:r>
      <w:r w:rsidRPr="00177F3D">
        <w:rPr>
          <w:b/>
          <w:color w:val="000000" w:themeColor="text1"/>
        </w:rPr>
        <w:t>)</w:t>
      </w:r>
      <w:r w:rsidRPr="00177F3D">
        <w:rPr>
          <w:color w:val="000000" w:themeColor="text1"/>
        </w:rPr>
        <w:t xml:space="preserve"> –</w:t>
      </w:r>
      <w:r>
        <w:rPr>
          <w:color w:val="000000" w:themeColor="text1"/>
        </w:rPr>
        <w:t xml:space="preserve"> Please consider </w:t>
      </w:r>
      <w:r w:rsidR="00223277">
        <w:rPr>
          <w:color w:val="000000" w:themeColor="text1"/>
        </w:rPr>
        <w:t xml:space="preserve">being consistent between the infiltration and the peak flow sections by placing this paragraph into </w:t>
      </w:r>
      <w:r>
        <w:rPr>
          <w:color w:val="000000" w:themeColor="text1"/>
        </w:rPr>
        <w:t>“Peak Flow” section</w:t>
      </w:r>
      <w:r w:rsidR="00223277">
        <w:rPr>
          <w:color w:val="000000" w:themeColor="text1"/>
        </w:rPr>
        <w:t xml:space="preserve"> as well</w:t>
      </w:r>
      <w:r>
        <w:rPr>
          <w:color w:val="000000" w:themeColor="text1"/>
        </w:rPr>
        <w:t xml:space="preserve">.  Also, please consider clarifying if the use of composite CNs is acceptable for peak flow calculation.  The second paragraph is </w:t>
      </w:r>
      <w:r w:rsidR="00054B1E">
        <w:rPr>
          <w:color w:val="000000" w:themeColor="text1"/>
        </w:rPr>
        <w:t>vaguer</w:t>
      </w:r>
      <w:r>
        <w:rPr>
          <w:color w:val="000000" w:themeColor="text1"/>
        </w:rPr>
        <w:t xml:space="preserve"> than the first paragraph.</w:t>
      </w:r>
    </w:p>
    <w:p w:rsidR="00F946F6" w:rsidRPr="00F946F6" w:rsidRDefault="00F946F6" w:rsidP="00F946F6">
      <w:pPr>
        <w:pStyle w:val="ListParagraph"/>
        <w:rPr>
          <w:color w:val="000000" w:themeColor="text1"/>
        </w:rPr>
      </w:pPr>
    </w:p>
    <w:p w:rsidR="005F6D17" w:rsidRDefault="00054B1E" w:rsidP="005F6D17">
      <w:pPr>
        <w:pStyle w:val="ListParagraph"/>
        <w:numPr>
          <w:ilvl w:val="0"/>
          <w:numId w:val="2"/>
        </w:numPr>
        <w:spacing w:after="0"/>
        <w:jc w:val="both"/>
        <w:rPr>
          <w:color w:val="000000" w:themeColor="text1"/>
        </w:rPr>
      </w:pPr>
      <w:r w:rsidRPr="00177F3D">
        <w:rPr>
          <w:b/>
          <w:color w:val="000000" w:themeColor="text1"/>
        </w:rPr>
        <w:t xml:space="preserve">Section </w:t>
      </w:r>
      <w:r>
        <w:rPr>
          <w:b/>
          <w:color w:val="000000" w:themeColor="text1"/>
        </w:rPr>
        <w:t>B</w:t>
      </w:r>
      <w:r w:rsidRPr="00177F3D">
        <w:rPr>
          <w:b/>
          <w:color w:val="000000" w:themeColor="text1"/>
        </w:rPr>
        <w:t xml:space="preserve">, </w:t>
      </w:r>
      <w:r>
        <w:rPr>
          <w:b/>
          <w:color w:val="000000" w:themeColor="text1"/>
        </w:rPr>
        <w:t>Item 28 (page 8</w:t>
      </w:r>
      <w:r w:rsidRPr="00177F3D">
        <w:rPr>
          <w:b/>
          <w:color w:val="000000" w:themeColor="text1"/>
        </w:rPr>
        <w:t>)</w:t>
      </w:r>
      <w:r w:rsidRPr="00177F3D">
        <w:rPr>
          <w:color w:val="000000" w:themeColor="text1"/>
        </w:rPr>
        <w:t xml:space="preserve"> –</w:t>
      </w:r>
      <w:r>
        <w:rPr>
          <w:color w:val="000000" w:themeColor="text1"/>
        </w:rPr>
        <w:t xml:space="preserve"> Please identify the % TP removal credit for the volume of runoff that is filtered through an engineered filtering layer and that is discharged via an underdrain.  TMDL implementation for TSS and TP pollutants is beginning in some municipalities.  </w:t>
      </w:r>
    </w:p>
    <w:p w:rsidR="005F6D17" w:rsidRPr="005F6D17" w:rsidRDefault="005F6D17" w:rsidP="005F6D17">
      <w:pPr>
        <w:pStyle w:val="ListParagraph"/>
        <w:rPr>
          <w:b/>
          <w:color w:val="000000" w:themeColor="text1"/>
        </w:rPr>
      </w:pPr>
    </w:p>
    <w:p w:rsidR="00034D63" w:rsidRDefault="005F6D17" w:rsidP="005F6D17">
      <w:pPr>
        <w:pStyle w:val="ListParagraph"/>
        <w:numPr>
          <w:ilvl w:val="0"/>
          <w:numId w:val="2"/>
        </w:numPr>
        <w:spacing w:after="0"/>
        <w:jc w:val="both"/>
        <w:rPr>
          <w:color w:val="000000" w:themeColor="text1"/>
        </w:rPr>
      </w:pPr>
      <w:r w:rsidRPr="005F6D17">
        <w:rPr>
          <w:b/>
          <w:color w:val="000000" w:themeColor="text1"/>
        </w:rPr>
        <w:t xml:space="preserve">Section B, Item </w:t>
      </w:r>
      <w:r>
        <w:rPr>
          <w:b/>
          <w:color w:val="000000" w:themeColor="text1"/>
        </w:rPr>
        <w:t>29</w:t>
      </w:r>
      <w:r w:rsidRPr="005F6D17">
        <w:rPr>
          <w:b/>
          <w:color w:val="000000" w:themeColor="text1"/>
        </w:rPr>
        <w:t xml:space="preserve"> (page 8)</w:t>
      </w:r>
      <w:r w:rsidRPr="005F6D17">
        <w:rPr>
          <w:color w:val="000000" w:themeColor="text1"/>
        </w:rPr>
        <w:t xml:space="preserve"> – The porous pavement section in the guidance document was deleted.  Please identify the % TP removal credit for the volume of runoff that is filtered through the porous pavement surface. </w:t>
      </w:r>
      <w:r>
        <w:rPr>
          <w:color w:val="000000" w:themeColor="text1"/>
        </w:rPr>
        <w:t xml:space="preserve"> TMDL implementation for TSS and TP pollutants is beginning in some municipalities.  </w:t>
      </w:r>
    </w:p>
    <w:p w:rsidR="005F6D17" w:rsidRPr="005F6D17" w:rsidRDefault="005F6D17" w:rsidP="005F6D17">
      <w:pPr>
        <w:pStyle w:val="ListParagraph"/>
        <w:rPr>
          <w:color w:val="000000" w:themeColor="text1"/>
        </w:rPr>
      </w:pPr>
    </w:p>
    <w:p w:rsidR="00A669CD" w:rsidRDefault="005F6D17" w:rsidP="00F92637">
      <w:pPr>
        <w:pStyle w:val="ListParagraph"/>
        <w:numPr>
          <w:ilvl w:val="0"/>
          <w:numId w:val="2"/>
        </w:numPr>
        <w:spacing w:after="0"/>
        <w:jc w:val="both"/>
        <w:rPr>
          <w:color w:val="000000" w:themeColor="text1"/>
        </w:rPr>
      </w:pPr>
      <w:r w:rsidRPr="005F6D17">
        <w:rPr>
          <w:b/>
          <w:color w:val="000000" w:themeColor="text1"/>
        </w:rPr>
        <w:t xml:space="preserve">Section B, Item </w:t>
      </w:r>
      <w:r>
        <w:rPr>
          <w:b/>
          <w:color w:val="000000" w:themeColor="text1"/>
        </w:rPr>
        <w:t>30</w:t>
      </w:r>
      <w:r w:rsidRPr="005F6D17">
        <w:rPr>
          <w:b/>
          <w:color w:val="000000" w:themeColor="text1"/>
        </w:rPr>
        <w:t xml:space="preserve"> (page 8)</w:t>
      </w:r>
      <w:r w:rsidRPr="005F6D17">
        <w:rPr>
          <w:color w:val="000000" w:themeColor="text1"/>
        </w:rPr>
        <w:t xml:space="preserve"> –</w:t>
      </w:r>
      <w:r>
        <w:rPr>
          <w:color w:val="000000" w:themeColor="text1"/>
        </w:rPr>
        <w:t xml:space="preserve"> </w:t>
      </w:r>
      <w:r w:rsidRPr="005F6D17">
        <w:rPr>
          <w:color w:val="000000" w:themeColor="text1"/>
        </w:rPr>
        <w:t xml:space="preserve">Please identify the % TP removal credit for the volume of runoff that is filtered through the </w:t>
      </w:r>
      <w:r>
        <w:rPr>
          <w:color w:val="000000" w:themeColor="text1"/>
        </w:rPr>
        <w:t>green roof</w:t>
      </w:r>
      <w:r w:rsidRPr="005F6D17">
        <w:rPr>
          <w:color w:val="000000" w:themeColor="text1"/>
        </w:rPr>
        <w:t>.</w:t>
      </w:r>
      <w:r>
        <w:rPr>
          <w:color w:val="000000" w:themeColor="text1"/>
        </w:rPr>
        <w:t xml:space="preserve"> </w:t>
      </w:r>
      <w:r w:rsidRPr="005F6D17">
        <w:rPr>
          <w:color w:val="000000" w:themeColor="text1"/>
        </w:rPr>
        <w:t xml:space="preserve"> </w:t>
      </w:r>
      <w:r>
        <w:rPr>
          <w:color w:val="000000" w:themeColor="text1"/>
        </w:rPr>
        <w:t>TMDL implementation for TSS and TP pollutants is beginning in some municipalities.</w:t>
      </w:r>
    </w:p>
    <w:p w:rsidR="00922B6C" w:rsidRDefault="00922B6C" w:rsidP="00F92637">
      <w:pPr>
        <w:spacing w:after="0"/>
        <w:jc w:val="both"/>
      </w:pPr>
    </w:p>
    <w:p w:rsidR="00922B6C" w:rsidRDefault="00922B6C" w:rsidP="00F92637">
      <w:pPr>
        <w:spacing w:after="0"/>
        <w:jc w:val="both"/>
      </w:pPr>
    </w:p>
    <w:p w:rsidR="00035D24" w:rsidRDefault="00035D24" w:rsidP="00035D24">
      <w:pPr>
        <w:spacing w:after="240"/>
        <w:jc w:val="both"/>
        <w:rPr>
          <w:color w:val="000000"/>
        </w:rPr>
      </w:pPr>
      <w:r>
        <w:rPr>
          <w:color w:val="000000"/>
        </w:rPr>
        <w:t>Please contact us with any questions regarding our comments.</w:t>
      </w:r>
    </w:p>
    <w:p w:rsidR="00035D24" w:rsidRDefault="00035D24" w:rsidP="00035D24">
      <w:pPr>
        <w:spacing w:after="240"/>
        <w:jc w:val="both"/>
        <w:rPr>
          <w:color w:val="000000"/>
        </w:rPr>
      </w:pPr>
      <w:r>
        <w:rPr>
          <w:color w:val="000000"/>
        </w:rPr>
        <w:t>Sincerely,</w:t>
      </w:r>
    </w:p>
    <w:p w:rsidR="00035D24" w:rsidRDefault="00035D24" w:rsidP="00035D24">
      <w:pPr>
        <w:spacing w:after="240"/>
        <w:jc w:val="both"/>
        <w:rPr>
          <w:color w:val="000000"/>
        </w:rPr>
      </w:pPr>
      <w:r>
        <w:rPr>
          <w:noProof/>
          <w:color w:val="000000"/>
        </w:rPr>
        <w:drawing>
          <wp:inline distT="0" distB="0" distL="0" distR="0">
            <wp:extent cx="2286000" cy="1028700"/>
            <wp:effectExtent l="0" t="0" r="0" b="0"/>
            <wp:docPr id="1" name="Picture 1" descr="Jessica Schultz electronic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sica Schultz electronic signature"/>
                    <pic:cNvPicPr>
                      <a:picLocks noChangeAspect="1" noChangeArrowheads="1"/>
                    </pic:cNvPicPr>
                  </pic:nvPicPr>
                  <pic:blipFill>
                    <a:blip r:embed="rId7">
                      <a:lum contrast="80000"/>
                      <a:extLst>
                        <a:ext uri="{28A0092B-C50C-407E-A947-70E740481C1C}">
                          <a14:useLocalDpi xmlns:a14="http://schemas.microsoft.com/office/drawing/2010/main" val="0"/>
                        </a:ext>
                      </a:extLst>
                    </a:blip>
                    <a:srcRect/>
                    <a:stretch>
                      <a:fillRect/>
                    </a:stretch>
                  </pic:blipFill>
                  <pic:spPr bwMode="auto">
                    <a:xfrm>
                      <a:off x="0" y="0"/>
                      <a:ext cx="2286000" cy="1028700"/>
                    </a:xfrm>
                    <a:prstGeom prst="rect">
                      <a:avLst/>
                    </a:prstGeom>
                    <a:noFill/>
                    <a:ln>
                      <a:noFill/>
                    </a:ln>
                  </pic:spPr>
                </pic:pic>
              </a:graphicData>
            </a:graphic>
          </wp:inline>
        </w:drawing>
      </w:r>
    </w:p>
    <w:p w:rsidR="00035D24" w:rsidRDefault="00035D24" w:rsidP="00035D24">
      <w:pPr>
        <w:spacing w:after="240"/>
        <w:rPr>
          <w:color w:val="000000"/>
        </w:rPr>
      </w:pPr>
      <w:r>
        <w:rPr>
          <w:color w:val="000000"/>
        </w:rPr>
        <w:t>Jessica Schultz</w:t>
      </w:r>
      <w:r>
        <w:rPr>
          <w:color w:val="000000"/>
        </w:rPr>
        <w:br/>
      </w:r>
      <w:proofErr w:type="gramStart"/>
      <w:r>
        <w:rPr>
          <w:color w:val="000000"/>
        </w:rPr>
        <w:t>Director</w:t>
      </w:r>
      <w:proofErr w:type="gramEnd"/>
      <w:r>
        <w:rPr>
          <w:color w:val="000000"/>
        </w:rPr>
        <w:br/>
        <w:t>(920)858-4246</w:t>
      </w:r>
      <w:r>
        <w:rPr>
          <w:color w:val="000000"/>
        </w:rPr>
        <w:br/>
      </w:r>
      <w:hyperlink r:id="rId8" w:history="1">
        <w:r>
          <w:rPr>
            <w:rStyle w:val="Hyperlink"/>
          </w:rPr>
          <w:t>newsc@newsc.org</w:t>
        </w:r>
      </w:hyperlink>
      <w:r>
        <w:rPr>
          <w:color w:val="000000"/>
        </w:rPr>
        <w:t xml:space="preserve"> </w:t>
      </w:r>
      <w:r>
        <w:rPr>
          <w:color w:val="000000"/>
        </w:rPr>
        <w:br/>
      </w:r>
      <w:r>
        <w:rPr>
          <w:color w:val="000000"/>
        </w:rPr>
        <w:br/>
      </w:r>
    </w:p>
    <w:p w:rsidR="00035D24" w:rsidRDefault="00035D24" w:rsidP="00035D24">
      <w:pPr>
        <w:spacing w:after="240"/>
        <w:rPr>
          <w:color w:val="000000"/>
        </w:rPr>
      </w:pPr>
      <w:r>
        <w:rPr>
          <w:color w:val="000000"/>
        </w:rPr>
        <w:br w:type="page"/>
      </w:r>
      <w:r>
        <w:rPr>
          <w:color w:val="000000"/>
        </w:rPr>
        <w:lastRenderedPageBreak/>
        <w:t>NEWSC Member Communities</w:t>
      </w:r>
    </w:p>
    <w:tbl>
      <w:tblPr>
        <w:tblW w:w="10368" w:type="dxa"/>
        <w:tblLook w:val="04A0" w:firstRow="1" w:lastRow="0" w:firstColumn="1" w:lastColumn="0" w:noHBand="0" w:noVBand="1"/>
      </w:tblPr>
      <w:tblGrid>
        <w:gridCol w:w="2268"/>
        <w:gridCol w:w="2434"/>
        <w:gridCol w:w="2515"/>
        <w:gridCol w:w="3151"/>
      </w:tblGrid>
      <w:tr w:rsidR="00035D24" w:rsidTr="00035D24">
        <w:trPr>
          <w:trHeight w:val="3894"/>
        </w:trPr>
        <w:tc>
          <w:tcPr>
            <w:tcW w:w="2268" w:type="dxa"/>
            <w:hideMark/>
          </w:tcPr>
          <w:p w:rsidR="00035D24" w:rsidRDefault="00035D24">
            <w:pPr>
              <w:spacing w:after="240"/>
              <w:rPr>
                <w:color w:val="000000"/>
              </w:rPr>
            </w:pPr>
            <w:r>
              <w:rPr>
                <w:color w:val="000000"/>
              </w:rPr>
              <w:t>Brown County</w:t>
            </w:r>
            <w:r>
              <w:rPr>
                <w:color w:val="000000"/>
              </w:rPr>
              <w:br/>
              <w:t>Calumet County</w:t>
            </w:r>
            <w:r>
              <w:rPr>
                <w:color w:val="000000"/>
              </w:rPr>
              <w:br/>
              <w:t>Fond du Lac County</w:t>
            </w:r>
            <w:r>
              <w:rPr>
                <w:color w:val="000000"/>
              </w:rPr>
              <w:br/>
              <w:t>Outagamie County</w:t>
            </w:r>
            <w:r>
              <w:rPr>
                <w:color w:val="000000"/>
              </w:rPr>
              <w:br/>
              <w:t>Winnebago County</w:t>
            </w:r>
          </w:p>
          <w:p w:rsidR="00035D24" w:rsidRDefault="00035D24">
            <w:pPr>
              <w:spacing w:after="240"/>
              <w:rPr>
                <w:color w:val="000000"/>
              </w:rPr>
            </w:pPr>
            <w:r>
              <w:rPr>
                <w:color w:val="000000"/>
              </w:rPr>
              <w:t>UW Oshkosh</w:t>
            </w:r>
          </w:p>
          <w:p w:rsidR="00035D24" w:rsidRDefault="00035D24">
            <w:pPr>
              <w:spacing w:after="240"/>
              <w:rPr>
                <w:color w:val="000000"/>
              </w:rPr>
            </w:pPr>
            <w:r>
              <w:rPr>
                <w:color w:val="000000"/>
              </w:rPr>
              <w:br/>
            </w:r>
            <w:r>
              <w:rPr>
                <w:color w:val="000000"/>
              </w:rPr>
              <w:br/>
            </w:r>
          </w:p>
        </w:tc>
        <w:tc>
          <w:tcPr>
            <w:tcW w:w="2434" w:type="dxa"/>
          </w:tcPr>
          <w:p w:rsidR="00035D24" w:rsidRDefault="00035D24">
            <w:pPr>
              <w:spacing w:after="240"/>
              <w:rPr>
                <w:color w:val="000000"/>
              </w:rPr>
            </w:pPr>
            <w:r>
              <w:rPr>
                <w:color w:val="000000"/>
              </w:rPr>
              <w:t>City of Appleton</w:t>
            </w:r>
            <w:r>
              <w:rPr>
                <w:color w:val="000000"/>
              </w:rPr>
              <w:br/>
              <w:t xml:space="preserve">City of </w:t>
            </w:r>
            <w:proofErr w:type="spellStart"/>
            <w:r>
              <w:rPr>
                <w:color w:val="000000"/>
              </w:rPr>
              <w:t>DePere</w:t>
            </w:r>
            <w:proofErr w:type="spellEnd"/>
            <w:r>
              <w:rPr>
                <w:color w:val="000000"/>
              </w:rPr>
              <w:br/>
              <w:t>City of Fond du Lac</w:t>
            </w:r>
            <w:r>
              <w:rPr>
                <w:color w:val="000000"/>
              </w:rPr>
              <w:br/>
              <w:t>City of Green Bay</w:t>
            </w:r>
            <w:r>
              <w:rPr>
                <w:color w:val="000000"/>
              </w:rPr>
              <w:br/>
              <w:t xml:space="preserve">City of Kaukauna </w:t>
            </w:r>
            <w:r>
              <w:rPr>
                <w:color w:val="000000"/>
              </w:rPr>
              <w:br/>
              <w:t>City of Manitowoc</w:t>
            </w:r>
            <w:r>
              <w:rPr>
                <w:color w:val="000000"/>
              </w:rPr>
              <w:br/>
              <w:t>City of Marinette</w:t>
            </w:r>
            <w:r>
              <w:rPr>
                <w:color w:val="000000"/>
              </w:rPr>
              <w:br/>
              <w:t>City of Menasha</w:t>
            </w:r>
            <w:r>
              <w:rPr>
                <w:color w:val="000000"/>
              </w:rPr>
              <w:br/>
              <w:t xml:space="preserve">City of Neenah </w:t>
            </w:r>
            <w:r>
              <w:rPr>
                <w:color w:val="000000"/>
              </w:rPr>
              <w:br/>
              <w:t xml:space="preserve">City of Oshkosh </w:t>
            </w:r>
            <w:r>
              <w:rPr>
                <w:color w:val="000000"/>
              </w:rPr>
              <w:br/>
              <w:t>City of Two Rivers</w:t>
            </w:r>
            <w:r>
              <w:rPr>
                <w:color w:val="000000"/>
              </w:rPr>
              <w:br/>
            </w:r>
          </w:p>
          <w:p w:rsidR="00035D24" w:rsidRDefault="00035D24">
            <w:pPr>
              <w:spacing w:after="240"/>
              <w:rPr>
                <w:color w:val="000000"/>
              </w:rPr>
            </w:pPr>
          </w:p>
        </w:tc>
        <w:tc>
          <w:tcPr>
            <w:tcW w:w="2515" w:type="dxa"/>
            <w:hideMark/>
          </w:tcPr>
          <w:p w:rsidR="00035D24" w:rsidRDefault="00035D24">
            <w:pPr>
              <w:spacing w:after="240"/>
              <w:rPr>
                <w:color w:val="000000"/>
              </w:rPr>
            </w:pPr>
            <w:r>
              <w:rPr>
                <w:color w:val="000000"/>
              </w:rPr>
              <w:t>Town of Black Wolf</w:t>
            </w:r>
            <w:r>
              <w:rPr>
                <w:color w:val="000000"/>
              </w:rPr>
              <w:br/>
              <w:t>Town of Buchanan</w:t>
            </w:r>
            <w:r>
              <w:rPr>
                <w:color w:val="000000"/>
              </w:rPr>
              <w:br/>
              <w:t>Town of Fond du Lac</w:t>
            </w:r>
            <w:r>
              <w:rPr>
                <w:color w:val="000000"/>
              </w:rPr>
              <w:br/>
              <w:t>Town of Friendship</w:t>
            </w:r>
            <w:r>
              <w:rPr>
                <w:color w:val="000000"/>
              </w:rPr>
              <w:br/>
              <w:t>Town of Grand Chute</w:t>
            </w:r>
            <w:r>
              <w:rPr>
                <w:color w:val="000000"/>
              </w:rPr>
              <w:br/>
              <w:t>Town of Greenville</w:t>
            </w:r>
            <w:r>
              <w:rPr>
                <w:color w:val="000000"/>
              </w:rPr>
              <w:br/>
              <w:t xml:space="preserve">Town of </w:t>
            </w:r>
            <w:proofErr w:type="spellStart"/>
            <w:r>
              <w:rPr>
                <w:color w:val="000000"/>
              </w:rPr>
              <w:t>Ledgeview</w:t>
            </w:r>
            <w:proofErr w:type="spellEnd"/>
            <w:r>
              <w:rPr>
                <w:color w:val="000000"/>
              </w:rPr>
              <w:br/>
              <w:t>Town of Menasha</w:t>
            </w:r>
            <w:r>
              <w:rPr>
                <w:color w:val="000000"/>
              </w:rPr>
              <w:br/>
              <w:t>Town of Neenah</w:t>
            </w:r>
            <w:r>
              <w:rPr>
                <w:color w:val="000000"/>
              </w:rPr>
              <w:br/>
              <w:t>Town of Scott</w:t>
            </w:r>
            <w:r>
              <w:rPr>
                <w:color w:val="000000"/>
              </w:rPr>
              <w:br/>
              <w:t xml:space="preserve">Town of </w:t>
            </w:r>
            <w:proofErr w:type="spellStart"/>
            <w:r>
              <w:rPr>
                <w:color w:val="000000"/>
              </w:rPr>
              <w:t>Taycheedah</w:t>
            </w:r>
            <w:proofErr w:type="spellEnd"/>
            <w:r>
              <w:rPr>
                <w:color w:val="000000"/>
              </w:rPr>
              <w:t xml:space="preserve"> </w:t>
            </w:r>
          </w:p>
          <w:p w:rsidR="00035D24" w:rsidRDefault="00035D24">
            <w:pPr>
              <w:spacing w:after="240"/>
              <w:rPr>
                <w:color w:val="000000"/>
              </w:rPr>
            </w:pPr>
            <w:r>
              <w:rPr>
                <w:color w:val="000000"/>
              </w:rPr>
              <w:br/>
            </w:r>
          </w:p>
        </w:tc>
        <w:tc>
          <w:tcPr>
            <w:tcW w:w="3151" w:type="dxa"/>
            <w:hideMark/>
          </w:tcPr>
          <w:p w:rsidR="00035D24" w:rsidRDefault="00035D24">
            <w:pPr>
              <w:spacing w:after="240"/>
              <w:rPr>
                <w:color w:val="000000"/>
              </w:rPr>
            </w:pPr>
            <w:r>
              <w:rPr>
                <w:color w:val="000000"/>
              </w:rPr>
              <w:t xml:space="preserve">Village of </w:t>
            </w:r>
            <w:proofErr w:type="spellStart"/>
            <w:r>
              <w:rPr>
                <w:color w:val="000000"/>
              </w:rPr>
              <w:t>Allouez</w:t>
            </w:r>
            <w:proofErr w:type="spellEnd"/>
            <w:r>
              <w:rPr>
                <w:color w:val="000000"/>
              </w:rPr>
              <w:br/>
              <w:t xml:space="preserve">Village of </w:t>
            </w:r>
            <w:proofErr w:type="spellStart"/>
            <w:r>
              <w:rPr>
                <w:color w:val="000000"/>
              </w:rPr>
              <w:t>Ashwaubenon</w:t>
            </w:r>
            <w:proofErr w:type="spellEnd"/>
            <w:r>
              <w:rPr>
                <w:color w:val="000000"/>
              </w:rPr>
              <w:br/>
              <w:t xml:space="preserve">Village of </w:t>
            </w:r>
            <w:proofErr w:type="spellStart"/>
            <w:r>
              <w:rPr>
                <w:color w:val="000000"/>
              </w:rPr>
              <w:t>Bellvue</w:t>
            </w:r>
            <w:proofErr w:type="spellEnd"/>
            <w:r>
              <w:rPr>
                <w:color w:val="000000"/>
              </w:rPr>
              <w:br/>
              <w:t>Village of Combined Locks</w:t>
            </w:r>
            <w:r>
              <w:rPr>
                <w:color w:val="000000"/>
              </w:rPr>
              <w:br/>
              <w:t>Village of Harrison</w:t>
            </w:r>
            <w:r>
              <w:rPr>
                <w:color w:val="000000"/>
              </w:rPr>
              <w:br/>
              <w:t>Village of Hobart</w:t>
            </w:r>
            <w:r>
              <w:rPr>
                <w:color w:val="000000"/>
              </w:rPr>
              <w:br/>
              <w:t>Village of Howard</w:t>
            </w:r>
            <w:r>
              <w:rPr>
                <w:color w:val="000000"/>
              </w:rPr>
              <w:br/>
              <w:t>Village of Kimberly</w:t>
            </w:r>
            <w:r>
              <w:rPr>
                <w:color w:val="000000"/>
              </w:rPr>
              <w:br/>
              <w:t>Village of Little Chute</w:t>
            </w:r>
            <w:r>
              <w:rPr>
                <w:color w:val="000000"/>
              </w:rPr>
              <w:br/>
              <w:t>Village of North Fond du Lac</w:t>
            </w:r>
            <w:r>
              <w:rPr>
                <w:color w:val="000000"/>
              </w:rPr>
              <w:br/>
              <w:t>Village of Sherwood</w:t>
            </w:r>
            <w:r>
              <w:rPr>
                <w:color w:val="000000"/>
              </w:rPr>
              <w:br/>
              <w:t xml:space="preserve">Village of </w:t>
            </w:r>
            <w:proofErr w:type="spellStart"/>
            <w:r>
              <w:rPr>
                <w:color w:val="000000"/>
              </w:rPr>
              <w:t>Suamico</w:t>
            </w:r>
            <w:proofErr w:type="spellEnd"/>
          </w:p>
        </w:tc>
      </w:tr>
    </w:tbl>
    <w:p w:rsidR="00035D24" w:rsidRDefault="00035D24" w:rsidP="00035D24">
      <w:pPr>
        <w:spacing w:after="240"/>
        <w:rPr>
          <w:rFonts w:ascii="Arial" w:hAnsi="Arial" w:cs="Arial"/>
        </w:rPr>
      </w:pPr>
    </w:p>
    <w:p w:rsidR="009363F3" w:rsidRPr="00E42F69" w:rsidRDefault="009363F3" w:rsidP="00E42F69">
      <w:pPr>
        <w:spacing w:line="288" w:lineRule="auto"/>
        <w:jc w:val="both"/>
        <w:rPr>
          <w:rFonts w:ascii="Arial" w:hAnsi="Arial" w:cs="Arial"/>
        </w:rPr>
      </w:pPr>
    </w:p>
    <w:sectPr w:rsidR="009363F3" w:rsidRPr="00E42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F5033"/>
    <w:multiLevelType w:val="hybridMultilevel"/>
    <w:tmpl w:val="D43EC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377EC"/>
    <w:multiLevelType w:val="hybridMultilevel"/>
    <w:tmpl w:val="CF208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732"/>
    <w:rsid w:val="00015FCB"/>
    <w:rsid w:val="000231C0"/>
    <w:rsid w:val="00030ADD"/>
    <w:rsid w:val="0003265C"/>
    <w:rsid w:val="00034D63"/>
    <w:rsid w:val="00035D24"/>
    <w:rsid w:val="000412B2"/>
    <w:rsid w:val="0005216C"/>
    <w:rsid w:val="000529C5"/>
    <w:rsid w:val="00054B1E"/>
    <w:rsid w:val="00055508"/>
    <w:rsid w:val="00057FCE"/>
    <w:rsid w:val="000816AB"/>
    <w:rsid w:val="00086729"/>
    <w:rsid w:val="000A4D0F"/>
    <w:rsid w:val="000B5A5B"/>
    <w:rsid w:val="000C4B6E"/>
    <w:rsid w:val="000C5A8F"/>
    <w:rsid w:val="00107581"/>
    <w:rsid w:val="00110DE8"/>
    <w:rsid w:val="00113363"/>
    <w:rsid w:val="00157BCE"/>
    <w:rsid w:val="00157CA2"/>
    <w:rsid w:val="00160616"/>
    <w:rsid w:val="00172B0F"/>
    <w:rsid w:val="00177F3D"/>
    <w:rsid w:val="001843BC"/>
    <w:rsid w:val="001A71B2"/>
    <w:rsid w:val="001D3737"/>
    <w:rsid w:val="001D3CF8"/>
    <w:rsid w:val="002060AD"/>
    <w:rsid w:val="00223277"/>
    <w:rsid w:val="002314D7"/>
    <w:rsid w:val="002350B1"/>
    <w:rsid w:val="00237CC8"/>
    <w:rsid w:val="00240442"/>
    <w:rsid w:val="00241E7A"/>
    <w:rsid w:val="002433E1"/>
    <w:rsid w:val="00244859"/>
    <w:rsid w:val="00253F75"/>
    <w:rsid w:val="00287D09"/>
    <w:rsid w:val="002A00AE"/>
    <w:rsid w:val="002C55F8"/>
    <w:rsid w:val="002C68B5"/>
    <w:rsid w:val="002D1F8D"/>
    <w:rsid w:val="002D3A4F"/>
    <w:rsid w:val="002F0968"/>
    <w:rsid w:val="002F44DB"/>
    <w:rsid w:val="002F4D5E"/>
    <w:rsid w:val="002F78F6"/>
    <w:rsid w:val="0030681A"/>
    <w:rsid w:val="00322F53"/>
    <w:rsid w:val="0033224F"/>
    <w:rsid w:val="00346528"/>
    <w:rsid w:val="0035783F"/>
    <w:rsid w:val="00361A59"/>
    <w:rsid w:val="003768A1"/>
    <w:rsid w:val="00382506"/>
    <w:rsid w:val="00396DEC"/>
    <w:rsid w:val="003B7FB7"/>
    <w:rsid w:val="003D6A40"/>
    <w:rsid w:val="003E65C3"/>
    <w:rsid w:val="003F2ABF"/>
    <w:rsid w:val="003F3C27"/>
    <w:rsid w:val="0040070E"/>
    <w:rsid w:val="00404CB6"/>
    <w:rsid w:val="0042307F"/>
    <w:rsid w:val="004439CF"/>
    <w:rsid w:val="00460AD2"/>
    <w:rsid w:val="00465272"/>
    <w:rsid w:val="00480596"/>
    <w:rsid w:val="004A4A96"/>
    <w:rsid w:val="004B4169"/>
    <w:rsid w:val="004C0333"/>
    <w:rsid w:val="004D4924"/>
    <w:rsid w:val="004F035B"/>
    <w:rsid w:val="004F2F08"/>
    <w:rsid w:val="004F3A42"/>
    <w:rsid w:val="004F50A5"/>
    <w:rsid w:val="004F7599"/>
    <w:rsid w:val="00504587"/>
    <w:rsid w:val="00510F9A"/>
    <w:rsid w:val="00512C7C"/>
    <w:rsid w:val="0052207F"/>
    <w:rsid w:val="00532A1E"/>
    <w:rsid w:val="00533FBF"/>
    <w:rsid w:val="0053651A"/>
    <w:rsid w:val="00542572"/>
    <w:rsid w:val="005469BF"/>
    <w:rsid w:val="005542C1"/>
    <w:rsid w:val="00556FAD"/>
    <w:rsid w:val="005641F2"/>
    <w:rsid w:val="005717EC"/>
    <w:rsid w:val="00584499"/>
    <w:rsid w:val="005956BC"/>
    <w:rsid w:val="005A2AB2"/>
    <w:rsid w:val="005B5277"/>
    <w:rsid w:val="005B5D79"/>
    <w:rsid w:val="005D024C"/>
    <w:rsid w:val="005D366C"/>
    <w:rsid w:val="005D54C4"/>
    <w:rsid w:val="005E3862"/>
    <w:rsid w:val="005E41DD"/>
    <w:rsid w:val="005F6D17"/>
    <w:rsid w:val="00614E8E"/>
    <w:rsid w:val="00631A7C"/>
    <w:rsid w:val="0063519F"/>
    <w:rsid w:val="0064036C"/>
    <w:rsid w:val="00646BBB"/>
    <w:rsid w:val="00665998"/>
    <w:rsid w:val="00673D1D"/>
    <w:rsid w:val="00680297"/>
    <w:rsid w:val="006A3CBF"/>
    <w:rsid w:val="006B3773"/>
    <w:rsid w:val="006B5492"/>
    <w:rsid w:val="006C0194"/>
    <w:rsid w:val="006C207E"/>
    <w:rsid w:val="006D469C"/>
    <w:rsid w:val="006F4FEE"/>
    <w:rsid w:val="007100DF"/>
    <w:rsid w:val="00723F69"/>
    <w:rsid w:val="00724ED8"/>
    <w:rsid w:val="00731690"/>
    <w:rsid w:val="0074157A"/>
    <w:rsid w:val="0074211F"/>
    <w:rsid w:val="00754D6C"/>
    <w:rsid w:val="0075742B"/>
    <w:rsid w:val="00762657"/>
    <w:rsid w:val="007855F4"/>
    <w:rsid w:val="0079145D"/>
    <w:rsid w:val="00791A18"/>
    <w:rsid w:val="007A6699"/>
    <w:rsid w:val="007B200B"/>
    <w:rsid w:val="007C065E"/>
    <w:rsid w:val="007D082A"/>
    <w:rsid w:val="007E1449"/>
    <w:rsid w:val="007E1979"/>
    <w:rsid w:val="007E5158"/>
    <w:rsid w:val="007E62A8"/>
    <w:rsid w:val="007F7271"/>
    <w:rsid w:val="00804697"/>
    <w:rsid w:val="0081086B"/>
    <w:rsid w:val="00811125"/>
    <w:rsid w:val="0081364E"/>
    <w:rsid w:val="008227D3"/>
    <w:rsid w:val="00822A1E"/>
    <w:rsid w:val="00825D4D"/>
    <w:rsid w:val="008439A7"/>
    <w:rsid w:val="0084640B"/>
    <w:rsid w:val="00846ED8"/>
    <w:rsid w:val="008524AD"/>
    <w:rsid w:val="0085321A"/>
    <w:rsid w:val="00853B11"/>
    <w:rsid w:val="00857813"/>
    <w:rsid w:val="008863C7"/>
    <w:rsid w:val="00893AB5"/>
    <w:rsid w:val="00895835"/>
    <w:rsid w:val="008B0732"/>
    <w:rsid w:val="008C212E"/>
    <w:rsid w:val="008C2AED"/>
    <w:rsid w:val="008F2C5C"/>
    <w:rsid w:val="008F34A7"/>
    <w:rsid w:val="009151E9"/>
    <w:rsid w:val="00915A1A"/>
    <w:rsid w:val="00922B6C"/>
    <w:rsid w:val="009239FA"/>
    <w:rsid w:val="009363F3"/>
    <w:rsid w:val="00940890"/>
    <w:rsid w:val="009441F2"/>
    <w:rsid w:val="009637F2"/>
    <w:rsid w:val="00977BA8"/>
    <w:rsid w:val="0098141D"/>
    <w:rsid w:val="00991999"/>
    <w:rsid w:val="00992E76"/>
    <w:rsid w:val="0099773A"/>
    <w:rsid w:val="009A2104"/>
    <w:rsid w:val="009C1F6C"/>
    <w:rsid w:val="009D397B"/>
    <w:rsid w:val="009F5C6C"/>
    <w:rsid w:val="00A00E41"/>
    <w:rsid w:val="00A032C1"/>
    <w:rsid w:val="00A07B6B"/>
    <w:rsid w:val="00A123E1"/>
    <w:rsid w:val="00A2191B"/>
    <w:rsid w:val="00A243D2"/>
    <w:rsid w:val="00A310B0"/>
    <w:rsid w:val="00A40CC3"/>
    <w:rsid w:val="00A43D49"/>
    <w:rsid w:val="00A4556F"/>
    <w:rsid w:val="00A57F66"/>
    <w:rsid w:val="00A6193C"/>
    <w:rsid w:val="00A62A10"/>
    <w:rsid w:val="00A62E67"/>
    <w:rsid w:val="00A669CD"/>
    <w:rsid w:val="00A73B41"/>
    <w:rsid w:val="00A838D5"/>
    <w:rsid w:val="00A863A0"/>
    <w:rsid w:val="00AA1380"/>
    <w:rsid w:val="00AA390E"/>
    <w:rsid w:val="00AB331B"/>
    <w:rsid w:val="00AB6C79"/>
    <w:rsid w:val="00AC484F"/>
    <w:rsid w:val="00AD37BA"/>
    <w:rsid w:val="00AD472C"/>
    <w:rsid w:val="00AE1185"/>
    <w:rsid w:val="00AE1354"/>
    <w:rsid w:val="00AE5783"/>
    <w:rsid w:val="00AE5B56"/>
    <w:rsid w:val="00AE7426"/>
    <w:rsid w:val="00AF19C9"/>
    <w:rsid w:val="00B04CE4"/>
    <w:rsid w:val="00B066E2"/>
    <w:rsid w:val="00B07BFA"/>
    <w:rsid w:val="00B10561"/>
    <w:rsid w:val="00B15BD0"/>
    <w:rsid w:val="00B26338"/>
    <w:rsid w:val="00B2799C"/>
    <w:rsid w:val="00B30526"/>
    <w:rsid w:val="00B40C77"/>
    <w:rsid w:val="00B6658B"/>
    <w:rsid w:val="00B80174"/>
    <w:rsid w:val="00B91876"/>
    <w:rsid w:val="00B93FE9"/>
    <w:rsid w:val="00BB7565"/>
    <w:rsid w:val="00BC3FC8"/>
    <w:rsid w:val="00BD2881"/>
    <w:rsid w:val="00BF3163"/>
    <w:rsid w:val="00BF46A0"/>
    <w:rsid w:val="00C02D69"/>
    <w:rsid w:val="00C0429F"/>
    <w:rsid w:val="00C13EE4"/>
    <w:rsid w:val="00C26031"/>
    <w:rsid w:val="00C314F2"/>
    <w:rsid w:val="00C45DC9"/>
    <w:rsid w:val="00C92014"/>
    <w:rsid w:val="00CA1167"/>
    <w:rsid w:val="00CC71D0"/>
    <w:rsid w:val="00CD13B7"/>
    <w:rsid w:val="00CE1919"/>
    <w:rsid w:val="00CF646A"/>
    <w:rsid w:val="00CF7DB1"/>
    <w:rsid w:val="00D22272"/>
    <w:rsid w:val="00D24AB1"/>
    <w:rsid w:val="00D26852"/>
    <w:rsid w:val="00D30CB4"/>
    <w:rsid w:val="00D42CE1"/>
    <w:rsid w:val="00D53792"/>
    <w:rsid w:val="00D5479E"/>
    <w:rsid w:val="00D7402E"/>
    <w:rsid w:val="00D86BAD"/>
    <w:rsid w:val="00DA59CD"/>
    <w:rsid w:val="00DC7A7D"/>
    <w:rsid w:val="00DD15C7"/>
    <w:rsid w:val="00DD55AB"/>
    <w:rsid w:val="00E1259D"/>
    <w:rsid w:val="00E13CD0"/>
    <w:rsid w:val="00E17789"/>
    <w:rsid w:val="00E2016C"/>
    <w:rsid w:val="00E20E50"/>
    <w:rsid w:val="00E21D8D"/>
    <w:rsid w:val="00E252A2"/>
    <w:rsid w:val="00E31E09"/>
    <w:rsid w:val="00E420FB"/>
    <w:rsid w:val="00E42F69"/>
    <w:rsid w:val="00E5555E"/>
    <w:rsid w:val="00E62A2D"/>
    <w:rsid w:val="00E64E89"/>
    <w:rsid w:val="00E86E29"/>
    <w:rsid w:val="00EA2F69"/>
    <w:rsid w:val="00EC7D0A"/>
    <w:rsid w:val="00ED65C7"/>
    <w:rsid w:val="00EF711D"/>
    <w:rsid w:val="00F04CC3"/>
    <w:rsid w:val="00F15640"/>
    <w:rsid w:val="00F21946"/>
    <w:rsid w:val="00F22E79"/>
    <w:rsid w:val="00F614A6"/>
    <w:rsid w:val="00F71706"/>
    <w:rsid w:val="00F77BBB"/>
    <w:rsid w:val="00F92637"/>
    <w:rsid w:val="00F946F6"/>
    <w:rsid w:val="00FC156C"/>
    <w:rsid w:val="00FC59F4"/>
    <w:rsid w:val="00FD020D"/>
    <w:rsid w:val="00FD4431"/>
    <w:rsid w:val="00FE0791"/>
    <w:rsid w:val="00FF1023"/>
    <w:rsid w:val="00FF43F1"/>
    <w:rsid w:val="00FF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E1F14-F891-4B78-BD84-74F1A86A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0A5"/>
    <w:rPr>
      <w:rFonts w:ascii="Tahoma" w:hAnsi="Tahoma" w:cs="Tahoma"/>
      <w:sz w:val="16"/>
      <w:szCs w:val="16"/>
    </w:rPr>
  </w:style>
  <w:style w:type="paragraph" w:styleId="ListParagraph">
    <w:name w:val="List Paragraph"/>
    <w:basedOn w:val="Normal"/>
    <w:uiPriority w:val="34"/>
    <w:qFormat/>
    <w:rsid w:val="00AE1185"/>
    <w:pPr>
      <w:ind w:left="720"/>
      <w:contextualSpacing/>
    </w:pPr>
  </w:style>
  <w:style w:type="table" w:styleId="TableGrid">
    <w:name w:val="Table Grid"/>
    <w:basedOn w:val="TableNormal"/>
    <w:uiPriority w:val="59"/>
    <w:rsid w:val="002A0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035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2057">
      <w:bodyDiv w:val="1"/>
      <w:marLeft w:val="0"/>
      <w:marRight w:val="0"/>
      <w:marTop w:val="0"/>
      <w:marBottom w:val="0"/>
      <w:divBdr>
        <w:top w:val="none" w:sz="0" w:space="0" w:color="auto"/>
        <w:left w:val="none" w:sz="0" w:space="0" w:color="auto"/>
        <w:bottom w:val="none" w:sz="0" w:space="0" w:color="auto"/>
        <w:right w:val="none" w:sz="0" w:space="0" w:color="auto"/>
      </w:divBdr>
    </w:div>
    <w:div w:id="118949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c@newsc.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C5C2-2B52-4FC1-B5CB-EF3520A0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MCM</Company>
  <LinksUpToDate>false</LinksUpToDate>
  <CharactersWithSpaces>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Vande Hey</dc:creator>
  <cp:lastModifiedBy>Jessica Schultz</cp:lastModifiedBy>
  <cp:revision>4</cp:revision>
  <dcterms:created xsi:type="dcterms:W3CDTF">2015-02-10T21:20:00Z</dcterms:created>
  <dcterms:modified xsi:type="dcterms:W3CDTF">2015-02-10T22:51:00Z</dcterms:modified>
</cp:coreProperties>
</file>